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2019县医疗保障局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按照《中华人民共和国政府信息公开条例》要求，结合本单位实际，现将年政府信息公开工作报告如下：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一、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eastAsia="zh-CN" w:bidi="mr"/>
        </w:rPr>
        <w:t>基本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工作情况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2019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年，按照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国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务院办公厅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政府信息与政务公开办公室关于政府信息公开工作年度报告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以及省、市、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县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相关工作要求，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县医疗保障局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形成了主要领导亲自抓、分管领导协同抓，职能部门具体抓的齐抓共管局面，进一步加大创新力度，深化公开内容，丰富公开方式，增强公开实效，稳步推进政府信息公开工作，最大限度地保障公众知情权、参与权和监督权。</w:t>
      </w:r>
    </w:p>
    <w:p>
      <w:pPr>
        <w:widowControl/>
        <w:ind w:firstLine="627" w:firstLineChars="196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二、主动公开政府信息情况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全年共主动公开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政务服务信息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53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条。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医保局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在公开基本内容的基础上，重点公开与群众切身利益密切相关的事项，以及群众最关心、社会最敏感、反映最强烈的热点问题。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一是政务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eastAsia="zh-CN" w:bidi="mr"/>
        </w:rPr>
        <w:t>服务一体化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公开栏。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便于群众观看，将属于社会公开的内容，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在互联网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+政务服务一体化平台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采取完全公开的形式，向社会公开，方便群众监督，并公开了办理条件、办理手续、工作时限等信息，方便群众办事。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二是开展咨询服务。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结合“法制宣传日”、“防灾减灾宣传日”、“安全宣传日”等宣传活动，设立政策咨询台开展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医保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政策宣传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促进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医疗保障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政策进一步落到实处。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三是加强信息公开载体建设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bidi="mr"/>
        </w:rPr>
        <w:t>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依托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政务网址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城步医疗保障局微信平台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、政策宣传栏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和县各医疗单位和药店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等多种信息载体，公开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医疗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救助信息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，大病保险、居民医疗保险以及职工医疗保险等政策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在城步新闻网、城步手机报上发布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15条我局开展有关工作新闻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。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bidi="mr"/>
        </w:rPr>
        <w:t>三、回应社会关切情况</w:t>
      </w:r>
    </w:p>
    <w:p>
      <w:pPr>
        <w:widowControl/>
        <w:ind w:firstLine="6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医疗保障局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对民心网工作高度重视，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2019年度及时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答复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各类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投诉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7件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，无拖延件，回复指数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民意指数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得到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好评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 w:bidi="mr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职守率达到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mr"/>
        </w:rPr>
        <w:t>100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mr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mr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年，我单位在政府信息公开工作上虽然取得了一些成绩，但对照市、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要求，仍存在一定差距。主要表现在，政府信息公开工作机制不够完善，政府信息公开的便民性、时效性和实用性还需不断提高。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mr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我局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将切实加大对政务公开工作的推进、协调和监督力度，努力推动政府信息公开工作健康规范发展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进一步转变思想观念，不断提高信息公开意识和服务意识，进一步明确工作责任，加强检查督促，并落实到日常工作中，加强政府信息公开工作与日常工作的无缝衔接，严格按规范程序公开政府信息，确保信息及时、准确、全面地公开。严格执行政府信息公开条例，主动、及时、准确公开社会公众普遍关注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医保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救助、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医保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资金使用和“三公”经费等重点领域的政府信息公开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m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mr"/>
        </w:rPr>
        <w:t>科学合理设置公开事项、努力提高信息发布的权威性、丰富性、时效性，积极发挥微信平台在资源整合、服务公众方面的作用，扩大微信平台宣传力和影响力。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61475"/>
    <w:multiLevelType w:val="singleLevel"/>
    <w:tmpl w:val="FA76147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0DF0"/>
    <w:rsid w:val="1753788E"/>
    <w:rsid w:val="2E1B1EBA"/>
    <w:rsid w:val="3DBB0DF0"/>
    <w:rsid w:val="3F3D2A00"/>
    <w:rsid w:val="41BA22F4"/>
    <w:rsid w:val="586859CA"/>
    <w:rsid w:val="5977038F"/>
    <w:rsid w:val="5AE21A8F"/>
    <w:rsid w:val="5E9B45D9"/>
    <w:rsid w:val="71B50942"/>
    <w:rsid w:val="765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2020-02-05T02:59:00Z</dcterms:created>
  <dc:creator>干校六记</dc:creator>
  <cp:lastModifiedBy>龙文益处</cp:lastModifiedBy>
  <dcterms:modified xsi:type="dcterms:W3CDTF">2020-02-13T06:41:09Z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