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1380A">
      <w:pPr>
        <w:jc w:val="center"/>
        <w:rPr>
          <w:rFonts w:hint="default" w:ascii="Times New Roman" w:hAnsi="Times New Roman" w:cs="Times New Roman" w:eastAsiaTheme="majorEastAsia"/>
          <w:b/>
          <w:bCs/>
          <w:sz w:val="44"/>
          <w:szCs w:val="44"/>
          <w:lang w:eastAsia="zh-CN"/>
        </w:rPr>
      </w:pPr>
      <w:r>
        <w:rPr>
          <w:rFonts w:hint="eastAsia" w:ascii="Times New Roman" w:hAnsi="Times New Roman" w:cs="Times New Roman" w:eastAsiaTheme="majorEastAsia"/>
          <w:b/>
          <w:bCs/>
          <w:sz w:val="44"/>
          <w:szCs w:val="44"/>
          <w:lang w:eastAsia="zh-CN"/>
        </w:rPr>
        <w:t>城步苗族自治县</w:t>
      </w:r>
      <w:r>
        <w:rPr>
          <w:rFonts w:hint="default" w:ascii="Times New Roman" w:hAnsi="Times New Roman" w:cs="Times New Roman" w:eastAsiaTheme="majorEastAsia"/>
          <w:b/>
          <w:bCs/>
          <w:sz w:val="44"/>
          <w:szCs w:val="44"/>
          <w:lang w:eastAsia="zh-CN"/>
        </w:rPr>
        <w:t>发展和改革局</w:t>
      </w:r>
    </w:p>
    <w:p w14:paraId="564B3DA7">
      <w:pPr>
        <w:jc w:val="center"/>
        <w:rPr>
          <w:rFonts w:hint="default" w:ascii="Times New Roman" w:hAnsi="Times New Roman" w:cs="Times New Roman" w:eastAsiaTheme="majorEastAsia"/>
          <w:b/>
          <w:bCs/>
          <w:sz w:val="44"/>
          <w:szCs w:val="44"/>
          <w:lang w:eastAsia="zh-CN"/>
        </w:rPr>
      </w:pPr>
      <w:r>
        <w:rPr>
          <w:rFonts w:hint="default" w:ascii="Times New Roman" w:hAnsi="Times New Roman" w:cs="Times New Roman" w:eastAsiaTheme="majorEastAsia"/>
          <w:b/>
          <w:bCs/>
          <w:sz w:val="44"/>
          <w:szCs w:val="44"/>
          <w:lang w:eastAsia="zh-CN"/>
        </w:rPr>
        <w:t>关于《城步苗族自治县政府投资项目实施管理办法（审议稿）》的起草制作说明</w:t>
      </w:r>
    </w:p>
    <w:p w14:paraId="45BAEF27">
      <w:pPr>
        <w:jc w:val="both"/>
        <w:rPr>
          <w:rFonts w:hint="default" w:ascii="Times New Roman" w:hAnsi="Times New Roman" w:eastAsia="黑体" w:cs="Times New Roman"/>
          <w:sz w:val="44"/>
          <w:szCs w:val="44"/>
          <w:lang w:eastAsia="zh-CN"/>
        </w:rPr>
      </w:pPr>
    </w:p>
    <w:p w14:paraId="1B7A9B5F">
      <w:pPr>
        <w:keepNext w:val="0"/>
        <w:keepLines w:val="0"/>
        <w:pageBreakBefore w:val="0"/>
        <w:overflowPunct/>
        <w:topLinePunct w:val="0"/>
        <w:bidi w:val="0"/>
        <w:spacing w:line="560" w:lineRule="exact"/>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县司法局：</w:t>
      </w:r>
    </w:p>
    <w:p w14:paraId="187FC2A5">
      <w:pPr>
        <w:keepNext w:val="0"/>
        <w:keepLines w:val="0"/>
        <w:pageBreakBefore w:val="0"/>
        <w:overflowPunct/>
        <w:topLinePunct w:val="0"/>
        <w:bidi w:val="0"/>
        <w:spacing w:line="56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pacing w:val="0"/>
          <w:kern w:val="10"/>
          <w:sz w:val="32"/>
          <w:szCs w:val="32"/>
          <w:lang w:val="en-US" w:eastAsia="zh-CN"/>
        </w:rPr>
        <w:t>为进一步规范政府投资管理，提高政府投资项目资金使用效率，有效防范和化解风险</w:t>
      </w:r>
      <w:r>
        <w:rPr>
          <w:rFonts w:hint="default" w:ascii="Times New Roman" w:hAnsi="Times New Roman" w:eastAsia="仿宋_GB2312" w:cs="Times New Roman"/>
          <w:sz w:val="32"/>
          <w:szCs w:val="32"/>
          <w:lang w:val="en-US" w:eastAsia="zh-CN"/>
        </w:rPr>
        <w:t>，根据中央、省市部署安排，我局代县人民政府起草制订了《城步苗族自治县政府投资项目实施管理办法（审议稿）》（以下简称管理办法），现将有关情况说明如下：</w:t>
      </w:r>
    </w:p>
    <w:p w14:paraId="0CE803A0">
      <w:pPr>
        <w:keepNext w:val="0"/>
        <w:keepLines w:val="0"/>
        <w:pageBreakBefore w:val="0"/>
        <w:numPr>
          <w:ilvl w:val="0"/>
          <w:numId w:val="0"/>
        </w:numPr>
        <w:overflowPunct/>
        <w:topLinePunct w:val="0"/>
        <w:bidi w:val="0"/>
        <w:spacing w:line="560" w:lineRule="exact"/>
        <w:ind w:firstLine="640" w:firstLineChars="200"/>
        <w:jc w:val="both"/>
        <w:rPr>
          <w:rFonts w:hint="default" w:ascii="Times New Roman" w:hAnsi="Times New Roman" w:cs="Times New Roman"/>
          <w:color w:val="auto"/>
          <w:spacing w:val="0"/>
          <w:kern w:val="10"/>
          <w:sz w:val="32"/>
          <w:szCs w:val="32"/>
          <w:lang w:val="en-US"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起草制作该《管理办法》的必要性</w:t>
      </w:r>
    </w:p>
    <w:p w14:paraId="18A6945A">
      <w:pPr>
        <w:keepNext w:val="0"/>
        <w:keepLines w:val="0"/>
        <w:pageBreakBefore w:val="0"/>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年来，国家、省市县进一步规范政府投资行为，强化政府投资项目管理，不断健全科学、民主、依法决策、实施和监管的全过程投资管理机制，提高政府投资效益，我县根据上级有关文件制定了《城步苗族自治县县本级政府投资项目审批及概算管理办法》（城政办发〔2019〕5号）、《城步苗族自治县关于进一步加强县本级政府投资项目实施规范管理有关规定》（城政办发〔2020〕30号）及要点解读文件等相关配套文件，在实施过程中，还是存在一些不足。为进一步明确职责和流程，确保政府投资项目保质保量、按时按序实施，发挥政府性投资项目对我县经济社会发展的促进作用，特编制本办法。</w:t>
      </w:r>
    </w:p>
    <w:p w14:paraId="03879D2B">
      <w:pPr>
        <w:keepNext w:val="0"/>
        <w:keepLines w:val="0"/>
        <w:pageBreakBefore w:val="0"/>
        <w:numPr>
          <w:ilvl w:val="0"/>
          <w:numId w:val="0"/>
        </w:numPr>
        <w:overflowPunct/>
        <w:topLinePunct w:val="0"/>
        <w:bidi w:val="0"/>
        <w:spacing w:line="560" w:lineRule="exact"/>
        <w:ind w:left="640" w:leftChars="0"/>
        <w:jc w:val="both"/>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《管理办法》起草依据</w:t>
      </w:r>
    </w:p>
    <w:p w14:paraId="076EA8F5">
      <w:pPr>
        <w:keepNext w:val="0"/>
        <w:keepLines w:val="0"/>
        <w:pageBreakBefore w:val="0"/>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政府投资条例》（中华人民共和国国务院令第712号）、《国务院办公厅关于全面开展工程建设项目审批制度改革的实施意见》（国办发〔2019〕11号）、《湖南省人民政府办公厅关于印发〈进一步规范政府性投资项目决策和立项防范政府债务风险的管理办法〉的通知》（湘政办发〔2022〕26号）等有关法律法规及文件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参考隆回县、绥宁县等地的经验做法，结合城步实际，制定本办法。</w:t>
      </w:r>
    </w:p>
    <w:p w14:paraId="183AF336">
      <w:pPr>
        <w:keepNext w:val="0"/>
        <w:keepLines w:val="0"/>
        <w:pageBreakBefore w:val="0"/>
        <w:numPr>
          <w:ilvl w:val="0"/>
          <w:numId w:val="0"/>
        </w:numPr>
        <w:overflowPunct/>
        <w:topLinePunct w:val="0"/>
        <w:bidi w:val="0"/>
        <w:spacing w:line="560" w:lineRule="exact"/>
        <w:ind w:left="640" w:leftChars="0"/>
        <w:jc w:val="both"/>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《管理办法》的起草过程及征求意见和协调情况</w:t>
      </w:r>
    </w:p>
    <w:p w14:paraId="47F77B31">
      <w:pPr>
        <w:keepNext w:val="0"/>
        <w:keepLines w:val="0"/>
        <w:pageBreakBefore w:val="0"/>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3月，由县发改局牵头，组织政法委、司法局、财政局、审计局、住建局、自然资源局、林业局、交通局、行政审批局、生态环境局、农水局、乡村振兴局、产业开发区、金九公司等相关部门起草了《管理办法》，并分别于2022年3月9、2022年3月17日召开会议研讨，形成《城步苗族自治县政府投资项目实施管理办法（初稿）》，2023年根据《湖南省人民政府办公厅关于印发〈进一步规范政府性投资项目决策和立项防范政府债务风险的管理办法〉的通知》（湘政办发〔2022〕26号）等相关文件精神对《管理办法》（初稿）进一步完善，下发《关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城步苗族自治县政府投资项目实施管理办法（讨论稿</w:t>
      </w:r>
      <w:bookmarkStart w:id="0" w:name="_GoBack"/>
      <w:bookmarkEnd w:id="0"/>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征求修改意见的函》向各相关部门征询意见并根据反馈意见进一步完善。在县人民政府官网公开向社会各界人士征求意见，形成《城步苗族自治县政府投资项目实施管理办法（审议稿）》。</w:t>
      </w:r>
    </w:p>
    <w:p w14:paraId="0E056F87">
      <w:pPr>
        <w:keepNext w:val="0"/>
        <w:keepLines w:val="0"/>
        <w:pageBreakBefore w:val="0"/>
        <w:numPr>
          <w:ilvl w:val="0"/>
          <w:numId w:val="0"/>
        </w:numPr>
        <w:overflowPunct/>
        <w:topLinePunct w:val="0"/>
        <w:bidi w:val="0"/>
        <w:spacing w:line="560" w:lineRule="exact"/>
        <w:ind w:left="640" w:leftChars="0"/>
        <w:jc w:val="both"/>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《管理办法》的主要内容</w:t>
      </w:r>
    </w:p>
    <w:p w14:paraId="272C05B7">
      <w:pPr>
        <w:pStyle w:val="3"/>
        <w:keepNext w:val="0"/>
        <w:keepLines w:val="0"/>
        <w:pageBreakBefore w:val="0"/>
        <w:widowControl/>
        <w:kinsoku w:val="0"/>
        <w:wordWrap/>
        <w:overflowPunct/>
        <w:topLinePunct w:val="0"/>
        <w:autoSpaceDE w:val="0"/>
        <w:autoSpaceDN w:val="0"/>
        <w:bidi w:val="0"/>
        <w:adjustRightInd w:val="0"/>
        <w:snapToGrid w:val="0"/>
        <w:spacing w:before="1" w:line="560" w:lineRule="exact"/>
        <w:ind w:left="6"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管理办法》由项目的管理总则、项目决策、项目审批、概算管理、预算管理、招投标与采购、工程变更及项目实施管理、项目监管、项目验收与结算、项目前期专业服务和资金拨付、竣工结算及资产移交、奖励与惩戒问责及附则等十三个部分组成。</w:t>
      </w:r>
    </w:p>
    <w:p w14:paraId="39B25EC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43"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napToGrid w:val="0"/>
          <w:color w:val="auto"/>
          <w:spacing w:val="0"/>
          <w:kern w:val="10"/>
          <w:sz w:val="32"/>
          <w:szCs w:val="32"/>
          <w:lang w:val="en-US" w:eastAsia="zh-CN" w:bidi="ar-SA"/>
        </w:rPr>
        <w:t>1.总则。</w:t>
      </w:r>
      <w:r>
        <w:rPr>
          <w:rFonts w:hint="default" w:ascii="Times New Roman" w:hAnsi="Times New Roman" w:eastAsia="仿宋_GB2312" w:cs="Times New Roman"/>
          <w:kern w:val="2"/>
          <w:sz w:val="32"/>
          <w:szCs w:val="32"/>
          <w:lang w:val="en-US" w:eastAsia="zh-CN" w:bidi="ar-SA"/>
        </w:rPr>
        <w:t>主要对政府投资项目的基本概念、部门责任分工、决策、审批、实施过程等作了概念性陈述。</w:t>
      </w:r>
    </w:p>
    <w:p w14:paraId="1DB70C7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43"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napToGrid w:val="0"/>
          <w:color w:val="auto"/>
          <w:spacing w:val="0"/>
          <w:kern w:val="10"/>
          <w:sz w:val="32"/>
          <w:szCs w:val="32"/>
          <w:lang w:val="en-US" w:eastAsia="zh-CN" w:bidi="ar-SA"/>
        </w:rPr>
        <w:t>2.项目决策。</w:t>
      </w:r>
      <w:r>
        <w:rPr>
          <w:rFonts w:hint="default" w:ascii="Times New Roman" w:hAnsi="Times New Roman" w:eastAsia="仿宋_GB2312" w:cs="Times New Roman"/>
          <w:kern w:val="2"/>
          <w:sz w:val="32"/>
          <w:szCs w:val="32"/>
          <w:lang w:val="en-US" w:eastAsia="zh-CN" w:bidi="ar-SA"/>
        </w:rPr>
        <w:t>按照项目谋划、申报、初审、送审等程序呈报县人民政府研究决策，县发改局</w:t>
      </w:r>
      <w:r>
        <w:rPr>
          <w:rFonts w:hint="eastAsia" w:ascii="Times New Roman" w:hAnsi="Times New Roman" w:eastAsia="仿宋_GB2312" w:cs="Times New Roman"/>
          <w:kern w:val="2"/>
          <w:sz w:val="32"/>
          <w:szCs w:val="32"/>
          <w:lang w:val="en-US" w:eastAsia="zh-CN" w:bidi="ar-SA"/>
        </w:rPr>
        <w:t>根据</w:t>
      </w:r>
      <w:r>
        <w:rPr>
          <w:rFonts w:hint="default" w:ascii="Times New Roman" w:hAnsi="Times New Roman" w:eastAsia="仿宋_GB2312" w:cs="Times New Roman"/>
          <w:kern w:val="2"/>
          <w:sz w:val="32"/>
          <w:szCs w:val="32"/>
          <w:lang w:val="en-US" w:eastAsia="zh-CN" w:bidi="ar-SA"/>
        </w:rPr>
        <w:t>县人民政府常务会审议决策意见</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履行可行性研究报告审批或核准手续。</w:t>
      </w:r>
    </w:p>
    <w:p w14:paraId="4F5FC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3.项目审批。</w:t>
      </w:r>
      <w:r>
        <w:rPr>
          <w:rFonts w:hint="default" w:ascii="Times New Roman" w:hAnsi="Times New Roman" w:eastAsia="仿宋_GB2312" w:cs="Times New Roman"/>
          <w:sz w:val="32"/>
          <w:szCs w:val="32"/>
          <w:lang w:val="en-US" w:eastAsia="zh-CN"/>
        </w:rPr>
        <w:t>总投资在400万元及以上的项目实行要件审批制，业主单位要按要求提供但不限于以下要件：政府常务会议决议书、资金来源审核意见、用地预审和选址意见（土地使用证）、申请立项报告、可行性研究报告等。总投资在400万元以下的项目，如果建设资金已经落实，且经分管副县长、常务副县长、县长签字同意实施，可不经县人民政府常务会议研究决定，按照《城步苗族自治县项目立项（备案）申请表》审签后，实行除县人民政府常务会议研究决定和资金来源审核外的项目要件审核</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w:t>
      </w:r>
    </w:p>
    <w:p w14:paraId="339B97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4.概算管理。</w:t>
      </w:r>
      <w:r>
        <w:rPr>
          <w:rFonts w:hint="default" w:ascii="Times New Roman" w:hAnsi="Times New Roman" w:eastAsia="仿宋_GB2312" w:cs="Times New Roman"/>
          <w:sz w:val="32"/>
          <w:szCs w:val="32"/>
          <w:lang w:val="en-US" w:eastAsia="zh-CN"/>
        </w:rPr>
        <w:t>涵盖概算编制、概算审批、概算监管责任、概算调整四个方面。项目投资总额在400万元以下的，不单独进行概算审批，直接按照立项批复的投资估算额度进行控制。政府投资项目投资总额达到400万元以上的，必须执行概算审批程序。项目单位法定代表人对政府性投资项目投资概算承担全过程管理责任，项目单位向投资主管部门申请审批项目投资概算时，必须提供项目单位法定代表人概算管理承诺书。由县发改部门委托有资质的第三方造价评审机构进行评审后，根据第三方机构评审意见进行概算批复。凡未经概算审批的政府投资项目，不得启动招投标，不得开工建设，不得</w:t>
      </w:r>
      <w:r>
        <w:rPr>
          <w:rFonts w:hint="eastAsia" w:ascii="Times New Roman" w:hAnsi="Times New Roman" w:eastAsia="仿宋_GB2312" w:cs="Times New Roman"/>
          <w:sz w:val="32"/>
          <w:szCs w:val="32"/>
          <w:lang w:val="en-US" w:eastAsia="zh-CN"/>
        </w:rPr>
        <w:t>拨付</w:t>
      </w:r>
      <w:r>
        <w:rPr>
          <w:rFonts w:hint="default" w:ascii="Times New Roman" w:hAnsi="Times New Roman" w:eastAsia="仿宋_GB2312" w:cs="Times New Roman"/>
          <w:sz w:val="32"/>
          <w:szCs w:val="32"/>
          <w:lang w:val="en-US" w:eastAsia="zh-CN"/>
        </w:rPr>
        <w:t>资金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应急、救灾等特殊项目除外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46D8B685">
      <w:pPr>
        <w:pStyle w:val="3"/>
        <w:keepNext w:val="0"/>
        <w:keepLines w:val="0"/>
        <w:pageBreakBefore w:val="0"/>
        <w:widowControl/>
        <w:kinsoku w:val="0"/>
        <w:wordWrap/>
        <w:overflowPunct/>
        <w:topLinePunct w:val="0"/>
        <w:autoSpaceDE w:val="0"/>
        <w:autoSpaceDN w:val="0"/>
        <w:bidi w:val="0"/>
        <w:adjustRightInd w:val="0"/>
        <w:snapToGrid w:val="0"/>
        <w:spacing w:before="180" w:line="560" w:lineRule="exact"/>
        <w:ind w:firstLine="643" w:firstLineChars="200"/>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napToGrid w:val="0"/>
          <w:color w:val="auto"/>
          <w:spacing w:val="0"/>
          <w:kern w:val="10"/>
          <w:sz w:val="32"/>
          <w:szCs w:val="32"/>
          <w:lang w:val="en-US" w:eastAsia="zh-CN" w:bidi="ar-SA"/>
        </w:rPr>
        <w:t>5.预算管理。</w:t>
      </w:r>
      <w:r>
        <w:rPr>
          <w:rFonts w:hint="default" w:ascii="Times New Roman" w:hAnsi="Times New Roman" w:eastAsia="仿宋_GB2312" w:cs="Times New Roman"/>
          <w:kern w:val="2"/>
          <w:sz w:val="32"/>
          <w:szCs w:val="32"/>
          <w:lang w:val="en-US" w:eastAsia="zh-CN" w:bidi="ar-SA"/>
        </w:rPr>
        <w:t>涵盖施工图设计、预算编制和审核、预算评审三个方面，施工图必须严格按照批准的项目初步设计及概算确定的原则、范围、内容、标准、规模和投资额进行设计，项目总造价、各单项工程或单位工程造价未经批准均不能超过初步设计核定的概算造价。预算编制应依据现行的计价规范、消耗量定额、市场价格和费用标准等，按照建设项目施工图预算编审规程，逐级计算工程造价。建设工程预算应包括建筑安装、附属配套项目和与建设工程相关的货物采购等内容。不得分别预算、分别送审，“肢解”项目。60万元以下项目，由业主单位（或委托有相应资质的服务单位）编制项目预算，业主单位班子会议集体审核实施；60万元以上的项目</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由业主单位编制预算（或委托有相应资质的服务单位编制）按程序报送县财政评审中心进行评审。施工图预算评审结论作为申报政府采购非招标方式或确定建设工程招标上限值的依据（不包括EPC工程）。5000万以下项目时限20个工作日内出具评审报告，5000万以上项目时限25个工作日内出具评审报告。</w:t>
      </w:r>
    </w:p>
    <w:p w14:paraId="57D84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6.招投标与采购。</w:t>
      </w:r>
      <w:r>
        <w:rPr>
          <w:rFonts w:hint="default" w:ascii="Times New Roman" w:hAnsi="Times New Roman" w:eastAsia="仿宋_GB2312" w:cs="Times New Roman"/>
          <w:sz w:val="32"/>
          <w:szCs w:val="32"/>
          <w:lang w:val="en-US" w:eastAsia="zh-CN"/>
        </w:rPr>
        <w:t>政府投资工程建设项目采购达到下列标准之一的，必须招标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一是施工单项合同估算价在400万元以上的；二是重要设备、材料等货物的采购，单项合同估算价在200 万元以上的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是勘察、设计、监理等服务的采购，单项合同估算价在100万元以上的。1000万元以下的项目，由招标人（采购人）直接在县招标代理库择优选取招标代理机构，1000万元以上的项目，由招标人（采购人）选取三家以上招标代理机构进行“综合评比、择优选取”。项目招标实行招标人负责制，加强政府投资项目全过程交易管理。中央、省预算内资金、专项债券资金等专项资金项目实行履约保证金制度。</w:t>
      </w:r>
    </w:p>
    <w:p w14:paraId="7903B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7.工程变更及项目实施管理。</w:t>
      </w:r>
      <w:r>
        <w:rPr>
          <w:rFonts w:hint="default" w:ascii="Times New Roman" w:hAnsi="Times New Roman" w:eastAsia="仿宋_GB2312" w:cs="Times New Roman"/>
          <w:sz w:val="32"/>
          <w:szCs w:val="32"/>
          <w:lang w:val="en-US" w:eastAsia="zh-CN"/>
        </w:rPr>
        <w:t>坚持把从严控制项目建设中的工程变更作为概算控制的主要措施。成立政府性投资工程项目变更领导小组，由县长任组长，常务副县长任常务副组长，副县长为副组长，成员为各政府组成局。从发改、财政、住建、农水、交通等相关部门抽调专业人员，组建工程项目变更现场核实工作小组，具体承担政府投资工程项目变更审核把关工作。工作小组在受理工程项目变更申请后，应当在5个工作日内完成实地勘察、组织专家评审等工作，10个工作日内出具批复意见。业主单位在工程项目变更工作小组出具同意变更的批复意见后，方可组织变更工程施工，并及时汇总资料报县财</w:t>
      </w:r>
      <w:r>
        <w:rPr>
          <w:rFonts w:hint="eastAsia" w:ascii="Times New Roman" w:hAnsi="Times New Roman" w:eastAsia="仿宋_GB2312" w:cs="Times New Roman"/>
          <w:sz w:val="32"/>
          <w:szCs w:val="32"/>
          <w:lang w:val="en-US" w:eastAsia="zh-CN"/>
        </w:rPr>
        <w:t>政局</w:t>
      </w:r>
      <w:r>
        <w:rPr>
          <w:rFonts w:hint="default" w:ascii="Times New Roman" w:hAnsi="Times New Roman" w:eastAsia="仿宋_GB2312" w:cs="Times New Roman"/>
          <w:sz w:val="32"/>
          <w:szCs w:val="32"/>
          <w:lang w:val="en-US" w:eastAsia="zh-CN"/>
        </w:rPr>
        <w:t>进行变更预算财评。</w:t>
      </w:r>
    </w:p>
    <w:p w14:paraId="416E2CC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8.项目监管。</w:t>
      </w:r>
      <w:r>
        <w:rPr>
          <w:rFonts w:hint="default" w:ascii="Times New Roman" w:hAnsi="Times New Roman" w:eastAsia="仿宋_GB2312" w:cs="Times New Roman"/>
          <w:sz w:val="32"/>
          <w:szCs w:val="32"/>
          <w:lang w:val="en-US" w:eastAsia="zh-CN"/>
        </w:rPr>
        <w:t>业主单位及行业主管部门要加强对勘察、设计、预算单位的监督与管理，</w:t>
      </w:r>
      <w:r>
        <w:rPr>
          <w:rFonts w:hint="eastAsia"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lang w:val="en-US" w:eastAsia="zh-CN"/>
        </w:rPr>
        <w:t>到现场进行调查、调研论证的，必须督促相关人员到现场进行充分调查，反复论证，业主单位和行业主管部门要对勘察、施工图设计、预算成果进行现场验收，以确保勘察、设计、预算完整、精确。县审计局重点对列入年度审计监督计划的项目、社会反响较大的项目、县委县政府主要领导批示需要审计监督的项目进行审计监督，必要时对其他项目进行抽查审计。县审计局要加强对我县投资审计协审服务单位的监管，对其参与协审的项目进行复核把关。中央预算内投资项目严格</w:t>
      </w:r>
      <w:r>
        <w:rPr>
          <w:rFonts w:hint="eastAsia"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lang w:val="en-US" w:eastAsia="zh-CN"/>
        </w:rPr>
        <w:t>《中央预算内直接投资项目管理办法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中央预算内资本金注入项目管理办法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中央预算内投资项目监督管理办法》等文件执行；地方政府专项债券项目按照《</w:t>
      </w:r>
      <w:r>
        <w:rPr>
          <w:rFonts w:hint="eastAsia" w:ascii="Times New Roman" w:hAnsi="Times New Roman" w:eastAsia="仿宋_GB2312" w:cs="Times New Roman"/>
          <w:sz w:val="32"/>
          <w:szCs w:val="32"/>
          <w:lang w:val="en-US" w:eastAsia="zh-CN"/>
        </w:rPr>
        <w:t>中共中央办公厅、国务院办公厅</w:t>
      </w:r>
      <w:r>
        <w:rPr>
          <w:rFonts w:hint="default" w:ascii="Times New Roman" w:hAnsi="Times New Roman" w:eastAsia="仿宋_GB2312" w:cs="Times New Roman"/>
          <w:sz w:val="32"/>
          <w:szCs w:val="32"/>
          <w:lang w:val="en-US" w:eastAsia="zh-CN"/>
        </w:rPr>
        <w:t>关于做好地方政府专项债券发行及项目配套融资工作的通知》等文件执行。</w:t>
      </w:r>
    </w:p>
    <w:p w14:paraId="765B0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9.项目验收与结算。</w:t>
      </w:r>
      <w:r>
        <w:rPr>
          <w:rFonts w:hint="default" w:ascii="Times New Roman" w:hAnsi="Times New Roman" w:eastAsia="仿宋_GB2312" w:cs="Times New Roman"/>
          <w:sz w:val="32"/>
          <w:szCs w:val="32"/>
          <w:lang w:val="en-US" w:eastAsia="zh-CN"/>
        </w:rPr>
        <w:t>施工单位在工程完工自验合格后，向业主单位提出书面验收申请及超合同工期情况说明（如超合同工期的需提供）和</w:t>
      </w:r>
      <w:r>
        <w:rPr>
          <w:rFonts w:hint="eastAsia" w:ascii="Times New Roman" w:hAnsi="Times New Roman" w:eastAsia="仿宋_GB2312" w:cs="Times New Roman"/>
          <w:sz w:val="32"/>
          <w:szCs w:val="32"/>
          <w:lang w:val="en-US" w:eastAsia="zh-CN"/>
        </w:rPr>
        <w:t>工程质量检验</w:t>
      </w:r>
      <w:r>
        <w:rPr>
          <w:rFonts w:hint="default" w:ascii="Times New Roman" w:hAnsi="Times New Roman" w:eastAsia="仿宋_GB2312" w:cs="Times New Roman"/>
          <w:sz w:val="32"/>
          <w:szCs w:val="32"/>
          <w:lang w:val="en-US" w:eastAsia="zh-CN"/>
        </w:rPr>
        <w:t>资料。业主单位可视工程情况委托第三方检测机构对工程质量进行全面检测（检测不合格的，相关费用由施工单位承担）。业主单位认为施工单位自检合格的应及时与有关部门按不同的验收类别，依据行业主管部门的验收规程组织验收，并出具验收结论，</w:t>
      </w:r>
      <w:r>
        <w:rPr>
          <w:rFonts w:hint="eastAsia" w:ascii="Times New Roman" w:hAnsi="Times New Roman" w:eastAsia="仿宋_GB2312" w:cs="Times New Roman"/>
          <w:sz w:val="32"/>
          <w:szCs w:val="32"/>
          <w:lang w:val="en-US" w:eastAsia="zh-CN"/>
        </w:rPr>
        <w:t>验收</w:t>
      </w:r>
      <w:r>
        <w:rPr>
          <w:rFonts w:hint="default" w:ascii="Times New Roman" w:hAnsi="Times New Roman" w:eastAsia="仿宋_GB2312" w:cs="Times New Roman"/>
          <w:sz w:val="32"/>
          <w:szCs w:val="32"/>
          <w:lang w:val="en-US" w:eastAsia="zh-CN"/>
        </w:rPr>
        <w:t>合格及以上，方可进行完工结算。建设单位在结算审核或财政投资评审机构评审完成后15日内应当将审核结果报审计机关。项目竣工验收和结算后，业主单位提交的所有评审资料，结算评审完结后，评审资料由县财政局整理归档后移交档案局存档备案。业主单位要将项目所有资料逐一整理归档，由业主单位主要负责人审核把关后，移交县档案馆存档备查。</w:t>
      </w:r>
    </w:p>
    <w:p w14:paraId="530AA7DF">
      <w:pPr>
        <w:pStyle w:val="2"/>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napToGrid w:val="0"/>
          <w:color w:val="auto"/>
          <w:spacing w:val="0"/>
          <w:kern w:val="10"/>
          <w:sz w:val="32"/>
          <w:szCs w:val="32"/>
          <w:lang w:val="en-US" w:eastAsia="zh-CN" w:bidi="ar-SA"/>
        </w:rPr>
        <w:t>10.项目前期专业服务和资金拨付。</w:t>
      </w:r>
      <w:r>
        <w:rPr>
          <w:rFonts w:hint="default" w:ascii="Times New Roman" w:hAnsi="Times New Roman" w:eastAsia="仿宋_GB2312" w:cs="Times New Roman"/>
          <w:kern w:val="2"/>
          <w:sz w:val="32"/>
          <w:szCs w:val="32"/>
          <w:lang w:val="en-US" w:eastAsia="zh-CN" w:bidi="ar-SA"/>
        </w:rPr>
        <w:t>项目专业服务范围。项目推进工作中的可研编制及评估、环评、修建性详规、地勘、测量、初步设计、概算编制及评估、施工图设计、预算编制、水土保持、防洪评估、地质灾害评估等建设项目专业服务付费执行下列标准：现有省级及以上行业协会指导价标准或有政府指导价的按不超过下限的4折据实付费；既无行业协会指导价标准，也无政府指导价的，由县人民政府根据市场情况决定付费标准。建设项目因特殊情况需超出上述付费标准付费的，由县人民政府专题会议研究决定，出具专题会议纪要。</w:t>
      </w:r>
    </w:p>
    <w:p w14:paraId="4531FD78">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前期实施单位。经县人民政府常务会议研究同意储备的项目，经业主申请，项目前期的可行性研究报告编制、初步设计编制、概算编制、专项债项目的资金平衡方案编制由项目前期工作领导小组办公室（设发改局）统一聘请有资质的第三方服务单位实施；储备项目的用地预审（压覆矿产、测绘、红线图等）、规划方案设计编制、地勘、林业审批、防洪河道占用、水土保持方案、环评、稳评等服务由项目业主单位聘请有资质的第三方服务单位统一实施。</w:t>
      </w:r>
    </w:p>
    <w:p w14:paraId="5C1884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前期费用申报流程。项目前期费用主要包括项目单位开展规划设计、建设用地规划、项目建议书、可行性研究报告、初步设计概算、建设工程规划、施工图设计、施工许可等环节的材料编制、招标、咨询、评估、审查、论证等前期工作发生的费用。不包括项目工程建设、土地或资产购买等非服务性内容。项目单位提出项目前期费用申请，县财政局、县发改局等行业主管部门联审后报分管副县长、常务副县长、县长审定。</w:t>
      </w:r>
    </w:p>
    <w:p w14:paraId="079901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政府常务会议研究同意的投资项目，上述服务采购按照本办法第六章的相关规定实施。</w:t>
      </w:r>
    </w:p>
    <w:p w14:paraId="047E66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11.竣工决算及资产移交。</w:t>
      </w:r>
      <w:r>
        <w:rPr>
          <w:rFonts w:hint="default" w:ascii="Times New Roman" w:hAnsi="Times New Roman" w:eastAsia="仿宋_GB2312" w:cs="Times New Roman"/>
          <w:sz w:val="32"/>
          <w:szCs w:val="32"/>
          <w:lang w:val="en-US" w:eastAsia="zh-CN"/>
        </w:rPr>
        <w:t>建设项目的投资金额400万元以上的应编制项目竣工财务决算，项目竣工财务决算由项目法人单位负责编制。项目完工可投入使用或者试运行合格后，项目法人单位应当在3个月内编报竣工财务决算，特殊情况确需延长的，中小型项目不得超过2个月，大型项目不得超过6个月。项目竣工财务决算的编制依据主要包括：国家有关法律法规；经批准的可行性研究报告、初步设计、概算及概算调整文件；招标文件及招标投标书，施工、代建、勘察设计、监理及设备采购等合同，政府采购审批文件、采购合同；历年下达的项目年度财政资金投资计划、预算；工程结算审核资料；有关的会计及财务管理资料；其他有关资料。项目竣工后应当及时办理资金清算和资产交付手续，并依据项目竣工财务决算批复意见办理产权登记和有关资产入账或调账。</w:t>
      </w:r>
    </w:p>
    <w:p w14:paraId="561506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12.奖励与惩戒问责。</w:t>
      </w: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业主单位或项目实施机构分类进行奖惩。二是</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行业主管部门分类进行奖惩。三是对施工单位分类进行奖惩。四是对服务单位分类进行奖惩。五是对概算控制不力的代建单位予以惩戒。</w:t>
      </w:r>
    </w:p>
    <w:p w14:paraId="10224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napToGrid w:val="0"/>
          <w:color w:val="auto"/>
          <w:spacing w:val="0"/>
          <w:kern w:val="10"/>
          <w:sz w:val="32"/>
          <w:szCs w:val="32"/>
          <w:lang w:val="en-US" w:eastAsia="zh-CN" w:bidi="ar-SA"/>
        </w:rPr>
        <w:t>13.附则。</w:t>
      </w:r>
      <w:r>
        <w:rPr>
          <w:rFonts w:hint="default" w:ascii="Times New Roman" w:hAnsi="Times New Roman" w:eastAsia="仿宋_GB2312" w:cs="Times New Roman"/>
          <w:sz w:val="32"/>
          <w:szCs w:val="32"/>
          <w:lang w:val="en-US" w:eastAsia="zh-CN"/>
        </w:rPr>
        <w:t>本办法自公布之日起施行，原《城步苗族自治县县本级政府投资项目审批及概算管理办法》（城政办发〔2019〕5号）、《城步苗族自治县关于进一步加强县本级政府投资项目实施规范管理有关规定》（城政办发〔2020〕30号）及要点解读文件，同时废止。此前出台的相关文件规定与本办法不一致的按本规定执行有效期5年。</w:t>
      </w:r>
    </w:p>
    <w:p w14:paraId="00963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color w:val="auto"/>
          <w:spacing w:val="0"/>
          <w:kern w:val="10"/>
          <w:sz w:val="32"/>
          <w:szCs w:val="32"/>
          <w:lang w:val="en-US" w:eastAsia="zh-CN"/>
        </w:rPr>
      </w:pPr>
      <w:r>
        <w:rPr>
          <w:rFonts w:hint="default" w:ascii="Times New Roman" w:hAnsi="Times New Roman" w:eastAsia="楷体_GB2312" w:cs="Times New Roman"/>
          <w:color w:val="auto"/>
          <w:spacing w:val="0"/>
          <w:kern w:val="10"/>
          <w:sz w:val="32"/>
          <w:szCs w:val="32"/>
          <w:lang w:val="en-US" w:eastAsia="zh-CN"/>
        </w:rPr>
        <w:t xml:space="preserve">                  </w:t>
      </w:r>
    </w:p>
    <w:p w14:paraId="38F83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color w:val="auto"/>
          <w:spacing w:val="0"/>
          <w:kern w:val="10"/>
          <w:sz w:val="32"/>
          <w:szCs w:val="32"/>
          <w:lang w:val="en-US" w:eastAsia="zh-CN"/>
        </w:rPr>
      </w:pPr>
    </w:p>
    <w:p w14:paraId="4E741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color w:val="auto"/>
          <w:spacing w:val="0"/>
          <w:kern w:val="10"/>
          <w:sz w:val="32"/>
          <w:szCs w:val="32"/>
          <w:lang w:val="en-US" w:eastAsia="zh-CN"/>
        </w:rPr>
      </w:pPr>
    </w:p>
    <w:p w14:paraId="21CC6F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城步苗族自治县发展和改革局</w:t>
      </w:r>
    </w:p>
    <w:p w14:paraId="2FE32E9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6A4171E9">
      <w:pPr>
        <w:numPr>
          <w:ilvl w:val="0"/>
          <w:numId w:val="0"/>
        </w:numPr>
        <w:ind w:left="640" w:leftChars="0"/>
        <w:jc w:val="both"/>
        <w:rPr>
          <w:rFonts w:hint="default" w:ascii="Times New Roman" w:hAnsi="Times New Roman" w:eastAsia="楷体_GB2312" w:cs="Times New Roman"/>
          <w:sz w:val="32"/>
          <w:szCs w:val="32"/>
          <w:lang w:val="en-US" w:eastAsia="zh-CN"/>
        </w:rPr>
      </w:pPr>
    </w:p>
    <w:p w14:paraId="2F49C314">
      <w:pPr>
        <w:jc w:val="center"/>
        <w:rPr>
          <w:rFonts w:hint="default" w:ascii="Times New Roman" w:hAnsi="Times New Roman" w:cs="Times New Roman"/>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MDVjY2E1MTQxODIzNjM4Yjk4Mzk4ODYyMGI2YTkifQ=="/>
  </w:docVars>
  <w:rsids>
    <w:rsidRoot w:val="00000000"/>
    <w:rsid w:val="012149D4"/>
    <w:rsid w:val="02822E85"/>
    <w:rsid w:val="057328EF"/>
    <w:rsid w:val="284023DC"/>
    <w:rsid w:val="391D685C"/>
    <w:rsid w:val="3B7D732B"/>
    <w:rsid w:val="43CF0D76"/>
    <w:rsid w:val="570E678F"/>
    <w:rsid w:val="73605760"/>
    <w:rsid w:val="7CD22633"/>
    <w:rsid w:val="7D90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autoRedefine/>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4728</Words>
  <Characters>4838</Characters>
  <Lines>0</Lines>
  <Paragraphs>0</Paragraphs>
  <TotalTime>30</TotalTime>
  <ScaleCrop>false</ScaleCrop>
  <LinksUpToDate>false</LinksUpToDate>
  <CharactersWithSpaces>4861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很皮很天真</cp:lastModifiedBy>
  <cp:lastPrinted>2025-11-19T02:42:00Z</cp:lastPrinted>
  <dcterms:modified xsi:type="dcterms:W3CDTF">2025-11-28T01:20:53Z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13522B9F83ED4ED082646B2E8FAEE33F_13</vt:lpwstr>
  </property>
  <property fmtid="{D5CDD505-2E9C-101B-9397-08002B2CF9AE}" pid="4" name="KSOTemplateDocerSaveRecord">
    <vt:lpwstr>eyJoZGlkIjoiMzAyY2M5MzcyZmU3NzhiYjYzMTY5MWRmNjBmYzI2NzYiLCJ1c2VySWQiOiIxMjkwMTYyMTk1In0=</vt:lpwstr>
  </property>
</Properties>
</file>