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05915329">
      <w:pPr>
        <w:ind w:firstLine="0" w:firstLineChars="0"/>
        <w:contextualSpacing/>
        <w:jc w:val="center"/>
        <w:rPr>
          <w:rFonts w:eastAsiaTheme="minorEastAsia"/>
          <w:b/>
          <w:color w:val="000000" w:themeColor="text1"/>
          <w:sz w:val="52"/>
          <w:szCs w:val="52"/>
          <w14:textFill>
            <w14:solidFill>
              <w14:schemeClr w14:val="tx1"/>
            </w14:solidFill>
          </w14:textFill>
        </w:rPr>
      </w:pPr>
    </w:p>
    <w:p w14:paraId="281C3A43">
      <w:pPr>
        <w:ind w:right="-28" w:rightChars="-10" w:firstLine="0" w:firstLineChars="0"/>
        <w:contextualSpacing/>
        <w:jc w:val="center"/>
        <w:rPr>
          <w:rFonts w:ascii="方正小标宋简体" w:hAnsi="方正小标宋简体" w:eastAsia="方正小标宋简体" w:cs="方正小标宋简体"/>
          <w:bCs/>
          <w:color w:val="000000" w:themeColor="text1"/>
          <w:sz w:val="56"/>
          <w:szCs w:val="56"/>
          <w14:textFill>
            <w14:solidFill>
              <w14:schemeClr w14:val="tx1"/>
            </w14:solidFill>
          </w14:textFill>
        </w:rPr>
      </w:pPr>
      <w:r>
        <w:rPr>
          <w:rFonts w:hint="eastAsia" w:ascii="方正小标宋简体" w:hAnsi="方正小标宋简体" w:eastAsia="方正小标宋简体" w:cs="方正小标宋简体"/>
          <w:bCs/>
          <w:color w:val="000000" w:themeColor="text1"/>
          <w:spacing w:val="-20"/>
          <w:sz w:val="56"/>
          <w:szCs w:val="56"/>
          <w14:textFill>
            <w14:solidFill>
              <w14:schemeClr w14:val="tx1"/>
            </w14:solidFill>
          </w14:textFill>
        </w:rPr>
        <w:t>城步苗族自治县秸秆禁烧区和限烧</w:t>
      </w:r>
      <w:r>
        <w:rPr>
          <w:rFonts w:hint="eastAsia" w:ascii="方正小标宋简体" w:hAnsi="方正小标宋简体" w:eastAsia="方正小标宋简体" w:cs="方正小标宋简体"/>
          <w:bCs/>
          <w:color w:val="000000" w:themeColor="text1"/>
          <w:sz w:val="56"/>
          <w:szCs w:val="56"/>
          <w14:textFill>
            <w14:solidFill>
              <w14:schemeClr w14:val="tx1"/>
            </w14:solidFill>
          </w14:textFill>
        </w:rPr>
        <w:t>区</w:t>
      </w:r>
    </w:p>
    <w:p w14:paraId="50C5F193">
      <w:pPr>
        <w:pStyle w:val="18"/>
        <w:spacing w:line="360" w:lineRule="auto"/>
        <w:jc w:val="both"/>
        <w:rPr>
          <w:rFonts w:ascii="Times New Roman" w:hAnsi="Times New Roman" w:eastAsiaTheme="minorEastAsia"/>
          <w:b/>
          <w:color w:val="000000" w:themeColor="text1"/>
          <w:sz w:val="96"/>
          <w:szCs w:val="96"/>
          <w14:textFill>
            <w14:solidFill>
              <w14:schemeClr w14:val="tx1"/>
            </w14:solidFill>
          </w14:textFill>
        </w:rPr>
      </w:pPr>
    </w:p>
    <w:p w14:paraId="78DB9D5C">
      <w:pPr>
        <w:pStyle w:val="18"/>
        <w:spacing w:line="360" w:lineRule="auto"/>
        <w:jc w:val="both"/>
        <w:rPr>
          <w:rFonts w:ascii="Times New Roman" w:hAnsi="Times New Roman" w:eastAsiaTheme="minorEastAsia"/>
          <w:b/>
          <w:color w:val="000000" w:themeColor="text1"/>
          <w:sz w:val="96"/>
          <w:szCs w:val="96"/>
          <w14:textFill>
            <w14:solidFill>
              <w14:schemeClr w14:val="tx1"/>
            </w14:solidFill>
          </w14:textFill>
        </w:rPr>
      </w:pPr>
    </w:p>
    <w:p w14:paraId="66F5ECB2">
      <w:pPr>
        <w:pStyle w:val="18"/>
        <w:spacing w:line="360" w:lineRule="auto"/>
        <w:jc w:val="center"/>
        <w:rPr>
          <w:rFonts w:ascii="方正隶书简体" w:hAnsi="方正隶书简体" w:eastAsia="方正隶书简体" w:cs="方正隶书简体"/>
          <w:bCs/>
          <w:color w:val="000000" w:themeColor="text1"/>
          <w:sz w:val="96"/>
          <w:szCs w:val="96"/>
          <w14:textFill>
            <w14:solidFill>
              <w14:schemeClr w14:val="tx1"/>
            </w14:solidFill>
          </w14:textFill>
        </w:rPr>
      </w:pPr>
      <w:r>
        <w:rPr>
          <w:rFonts w:hint="eastAsia" w:ascii="方正隶书简体" w:hAnsi="方正隶书简体" w:eastAsia="方正隶书简体" w:cs="方正隶书简体"/>
          <w:bCs/>
          <w:color w:val="000000" w:themeColor="text1"/>
          <w:sz w:val="96"/>
          <w:szCs w:val="96"/>
          <w14:textFill>
            <w14:solidFill>
              <w14:schemeClr w14:val="tx1"/>
            </w14:solidFill>
          </w14:textFill>
        </w:rPr>
        <w:t>划</w:t>
      </w:r>
    </w:p>
    <w:p w14:paraId="21F2B7B0">
      <w:pPr>
        <w:pStyle w:val="18"/>
        <w:spacing w:line="360" w:lineRule="auto"/>
        <w:jc w:val="center"/>
        <w:rPr>
          <w:rFonts w:ascii="方正隶书简体" w:hAnsi="方正隶书简体" w:eastAsia="方正隶书简体" w:cs="方正隶书简体"/>
          <w:bCs/>
          <w:color w:val="000000" w:themeColor="text1"/>
          <w:sz w:val="96"/>
          <w:szCs w:val="96"/>
          <w14:textFill>
            <w14:solidFill>
              <w14:schemeClr w14:val="tx1"/>
            </w14:solidFill>
          </w14:textFill>
        </w:rPr>
      </w:pPr>
      <w:r>
        <w:rPr>
          <w:rFonts w:hint="eastAsia" w:ascii="方正隶书简体" w:hAnsi="方正隶书简体" w:eastAsia="方正隶书简体" w:cs="方正隶书简体"/>
          <w:bCs/>
          <w:color w:val="000000" w:themeColor="text1"/>
          <w:sz w:val="96"/>
          <w:szCs w:val="96"/>
          <w14:textFill>
            <w14:solidFill>
              <w14:schemeClr w14:val="tx1"/>
            </w14:solidFill>
          </w14:textFill>
        </w:rPr>
        <w:t>定</w:t>
      </w:r>
    </w:p>
    <w:p w14:paraId="00D7E654">
      <w:pPr>
        <w:pStyle w:val="18"/>
        <w:spacing w:line="360" w:lineRule="auto"/>
        <w:jc w:val="center"/>
        <w:rPr>
          <w:rFonts w:ascii="方正隶书简体" w:hAnsi="方正隶书简体" w:eastAsia="方正隶书简体" w:cs="方正隶书简体"/>
          <w:bCs/>
          <w:color w:val="000000" w:themeColor="text1"/>
          <w:sz w:val="96"/>
          <w:szCs w:val="96"/>
          <w14:textFill>
            <w14:solidFill>
              <w14:schemeClr w14:val="tx1"/>
            </w14:solidFill>
          </w14:textFill>
        </w:rPr>
      </w:pPr>
      <w:r>
        <w:rPr>
          <w:rFonts w:hint="eastAsia" w:ascii="方正隶书简体" w:hAnsi="方正隶书简体" w:eastAsia="方正隶书简体" w:cs="方正隶书简体"/>
          <w:bCs/>
          <w:color w:val="000000" w:themeColor="text1"/>
          <w:sz w:val="96"/>
          <w:szCs w:val="96"/>
          <w14:textFill>
            <w14:solidFill>
              <w14:schemeClr w14:val="tx1"/>
            </w14:solidFill>
          </w14:textFill>
        </w:rPr>
        <w:t>方</w:t>
      </w:r>
    </w:p>
    <w:p w14:paraId="2D3691DA">
      <w:pPr>
        <w:pStyle w:val="18"/>
        <w:spacing w:line="360" w:lineRule="auto"/>
        <w:jc w:val="center"/>
        <w:rPr>
          <w:rFonts w:ascii="方正隶书简体" w:hAnsi="方正隶书简体" w:eastAsia="方正隶书简体" w:cs="方正隶书简体"/>
          <w:bCs/>
          <w:color w:val="000000" w:themeColor="text1"/>
          <w:sz w:val="96"/>
          <w:szCs w:val="96"/>
          <w14:textFill>
            <w14:solidFill>
              <w14:schemeClr w14:val="tx1"/>
            </w14:solidFill>
          </w14:textFill>
        </w:rPr>
      </w:pPr>
      <w:r>
        <w:rPr>
          <w:rFonts w:hint="eastAsia" w:ascii="方正隶书简体" w:hAnsi="方正隶书简体" w:eastAsia="方正隶书简体" w:cs="方正隶书简体"/>
          <w:bCs/>
          <w:color w:val="000000" w:themeColor="text1"/>
          <w:sz w:val="96"/>
          <w:szCs w:val="96"/>
          <w14:textFill>
            <w14:solidFill>
              <w14:schemeClr w14:val="tx1"/>
            </w14:solidFill>
          </w14:textFill>
        </w:rPr>
        <w:t>案</w:t>
      </w:r>
    </w:p>
    <w:p w14:paraId="6E870AD9">
      <w:pPr>
        <w:ind w:firstLine="480"/>
        <w:contextualSpacing/>
        <w:jc w:val="center"/>
        <w:rPr>
          <w:rFonts w:eastAsia="方正仿宋_GBK"/>
          <w:b/>
          <w:color w:val="000000" w:themeColor="text1"/>
          <w:sz w:val="24"/>
          <w14:textFill>
            <w14:solidFill>
              <w14:schemeClr w14:val="tx1"/>
            </w14:solidFill>
          </w14:textFill>
        </w:rPr>
      </w:pPr>
    </w:p>
    <w:p w14:paraId="58FAFA01">
      <w:pPr>
        <w:pStyle w:val="5"/>
        <w:ind w:firstLine="3200" w:firstLineChars="1000"/>
        <w:rPr>
          <w:rFonts w:hint="eastAsia" w:ascii="楷体_GB2312" w:hAnsi="楷体_GB2312" w:eastAsia="楷体_GB2312" w:cs="楷体_GB2312"/>
          <w:bCs/>
          <w:color w:val="000000" w:themeColor="text1"/>
          <w:sz w:val="32"/>
          <w:szCs w:val="32"/>
          <w:lang w:val="en-US" w:eastAsia="zh-CN"/>
          <w14:textFill>
            <w14:solidFill>
              <w14:schemeClr w14:val="tx1"/>
            </w14:solidFill>
          </w14:textFill>
        </w:rPr>
      </w:pPr>
      <w:r>
        <w:rPr>
          <w:rFonts w:hint="eastAsia" w:ascii="楷体_GB2312" w:hAnsi="楷体_GB2312" w:eastAsia="楷体_GB2312" w:cs="楷体_GB2312"/>
          <w:bCs/>
          <w:color w:val="000000" w:themeColor="text1"/>
          <w:sz w:val="32"/>
          <w:szCs w:val="32"/>
          <w:lang w:val="en-US" w:eastAsia="zh-CN"/>
          <w14:textFill>
            <w14:solidFill>
              <w14:schemeClr w14:val="tx1"/>
            </w14:solidFill>
          </w14:textFill>
        </w:rPr>
        <w:t>（征求意见稿）</w:t>
      </w:r>
      <w:bookmarkStart w:id="48" w:name="_GoBack"/>
      <w:bookmarkEnd w:id="48"/>
    </w:p>
    <w:p w14:paraId="63BF4FC7">
      <w:pPr>
        <w:ind w:left="0" w:leftChars="0" w:firstLine="0" w:firstLineChars="0"/>
        <w:contextualSpacing/>
        <w:jc w:val="both"/>
        <w:rPr>
          <w:rFonts w:eastAsia="方正仿宋_GBK"/>
          <w:b/>
          <w:color w:val="000000" w:themeColor="text1"/>
          <w:sz w:val="24"/>
          <w14:textFill>
            <w14:solidFill>
              <w14:schemeClr w14:val="tx1"/>
            </w14:solidFill>
          </w14:textFill>
        </w:rPr>
      </w:pPr>
    </w:p>
    <w:p w14:paraId="1BECA854">
      <w:pPr>
        <w:pStyle w:val="18"/>
        <w:spacing w:line="360" w:lineRule="auto"/>
        <w:rPr>
          <w:rFonts w:ascii="楷体_GB2312" w:hAnsi="楷体_GB2312" w:eastAsia="楷体_GB2312" w:cs="楷体_GB2312"/>
          <w:color w:val="000000" w:themeColor="text1"/>
          <w14:textFill>
            <w14:solidFill>
              <w14:schemeClr w14:val="tx1"/>
            </w14:solidFill>
          </w14:textFill>
        </w:rPr>
      </w:pPr>
    </w:p>
    <w:p w14:paraId="38929D51">
      <w:pPr>
        <w:ind w:firstLine="0" w:firstLineChars="0"/>
        <w:contextualSpacing/>
        <w:jc w:val="center"/>
        <w:rPr>
          <w:rFonts w:ascii="楷体_GB2312" w:hAnsi="楷体_GB2312" w:eastAsia="楷体_GB2312" w:cs="楷体_GB2312"/>
          <w:bCs/>
          <w:color w:val="000000" w:themeColor="text1"/>
          <w:sz w:val="44"/>
          <w:szCs w:val="44"/>
          <w14:textFill>
            <w14:solidFill>
              <w14:schemeClr w14:val="tx1"/>
            </w14:solidFill>
          </w14:textFill>
        </w:rPr>
      </w:pPr>
      <w:r>
        <w:rPr>
          <w:rFonts w:hint="eastAsia" w:ascii="楷体_GB2312" w:hAnsi="楷体_GB2312" w:eastAsia="楷体_GB2312" w:cs="楷体_GB2312"/>
          <w:bCs/>
          <w:color w:val="000000" w:themeColor="text1"/>
          <w:sz w:val="44"/>
          <w:szCs w:val="44"/>
          <w14:textFill>
            <w14:solidFill>
              <w14:schemeClr w14:val="tx1"/>
            </w14:solidFill>
          </w14:textFill>
        </w:rPr>
        <w:t>城步苗族自治县人民政府</w:t>
      </w:r>
    </w:p>
    <w:p w14:paraId="7AD38B8E">
      <w:pPr>
        <w:pStyle w:val="5"/>
        <w:ind w:firstLine="3840" w:firstLineChars="1200"/>
        <w:rPr>
          <w:rFonts w:hint="default" w:ascii="楷体_GB2312" w:hAnsi="楷体_GB2312" w:eastAsia="楷体_GB2312" w:cs="楷体_GB2312"/>
          <w:bCs/>
          <w:color w:val="000000" w:themeColor="text1"/>
          <w:sz w:val="32"/>
          <w:szCs w:val="32"/>
          <w:lang w:val="en-US" w:eastAsia="zh-CN"/>
          <w14:textFill>
            <w14:solidFill>
              <w14:schemeClr w14:val="tx1"/>
            </w14:solidFill>
          </w14:textFill>
        </w:rPr>
        <w:sectPr>
          <w:headerReference r:id="rId7" w:type="first"/>
          <w:footerReference r:id="rId10" w:type="first"/>
          <w:headerReference r:id="rId5" w:type="default"/>
          <w:footerReference r:id="rId8" w:type="default"/>
          <w:headerReference r:id="rId6" w:type="even"/>
          <w:footerReference r:id="rId9" w:type="even"/>
          <w:pgSz w:w="11906" w:h="16838"/>
          <w:pgMar w:top="1440" w:right="1627" w:bottom="1440" w:left="1627" w:header="851" w:footer="992" w:gutter="0"/>
          <w:pgNumType w:start="1"/>
          <w:cols w:space="720" w:num="1"/>
          <w:docGrid w:type="lines" w:linePitch="312" w:charSpace="0"/>
        </w:sectPr>
      </w:pPr>
      <w:r>
        <w:rPr>
          <w:rFonts w:hint="eastAsia" w:ascii="楷体_GB2312" w:hAnsi="楷体_GB2312" w:eastAsia="楷体_GB2312" w:cs="楷体_GB2312"/>
          <w:bCs/>
          <w:color w:val="000000" w:themeColor="text1"/>
          <w:sz w:val="32"/>
          <w:szCs w:val="32"/>
          <w14:textFill>
            <w14:solidFill>
              <w14:schemeClr w14:val="tx1"/>
            </w14:solidFill>
          </w14:textFill>
        </w:rPr>
        <w:t>2024年</w:t>
      </w:r>
      <w:r>
        <w:rPr>
          <w:rFonts w:hint="eastAsia" w:ascii="楷体_GB2312" w:hAnsi="楷体_GB2312" w:eastAsia="楷体_GB2312" w:cs="楷体_GB2312"/>
          <w:bCs/>
          <w:color w:val="000000" w:themeColor="text1"/>
          <w:sz w:val="32"/>
          <w:szCs w:val="32"/>
          <w:lang w:val="en-US" w:eastAsia="zh-CN"/>
          <w14:textFill>
            <w14:solidFill>
              <w14:schemeClr w14:val="tx1"/>
            </w14:solidFill>
          </w14:textFill>
        </w:rPr>
        <w:t>8月</w:t>
      </w:r>
    </w:p>
    <w:p w14:paraId="24F9EC2C">
      <w:pPr>
        <w:pStyle w:val="11"/>
        <w:rPr>
          <w:rFonts w:eastAsia="黑体"/>
          <w:color w:val="000000" w:themeColor="text1"/>
          <w:sz w:val="44"/>
          <w:szCs w:val="44"/>
          <w14:textFill>
            <w14:solidFill>
              <w14:schemeClr w14:val="tx1"/>
            </w14:solidFill>
          </w14:textFill>
        </w:rPr>
      </w:pPr>
      <w:r>
        <w:rPr>
          <w:rFonts w:eastAsia="黑体"/>
          <w:color w:val="000000" w:themeColor="text1"/>
          <w:sz w:val="44"/>
          <w:szCs w:val="44"/>
          <w14:textFill>
            <w14:solidFill>
              <w14:schemeClr w14:val="tx1"/>
            </w14:solidFill>
          </w14:textFill>
        </w:rPr>
        <w:t>目录</w:t>
      </w:r>
    </w:p>
    <w:p w14:paraId="0F7CFF57">
      <w:pPr>
        <w:pStyle w:val="11"/>
        <w:rPr>
          <w:rFonts w:asciiTheme="minorHAnsi" w:hAnsiTheme="minorHAnsi" w:eastAsiaTheme="minorEastAsia" w:cstheme="minorBidi"/>
          <w:b w:val="0"/>
          <w:sz w:val="22"/>
          <w:szCs w:val="22"/>
        </w:rPr>
      </w:pPr>
      <w:r>
        <w:rPr>
          <w:rFonts w:eastAsia="方正仿宋_GBK"/>
          <w:b w:val="0"/>
          <w:color w:val="000000" w:themeColor="text1"/>
          <w:sz w:val="32"/>
          <w:szCs w:val="24"/>
          <w14:textFill>
            <w14:solidFill>
              <w14:schemeClr w14:val="tx1"/>
            </w14:solidFill>
          </w14:textFill>
        </w:rPr>
        <w:fldChar w:fldCharType="begin"/>
      </w:r>
      <w:r>
        <w:rPr>
          <w:rFonts w:eastAsia="方正仿宋_GBK"/>
          <w:b w:val="0"/>
          <w:color w:val="000000" w:themeColor="text1"/>
          <w:sz w:val="32"/>
          <w:szCs w:val="24"/>
          <w14:textFill>
            <w14:solidFill>
              <w14:schemeClr w14:val="tx1"/>
            </w14:solidFill>
          </w14:textFill>
        </w:rPr>
        <w:instrText xml:space="preserve"> TOC \o "1-2" \h \z \u </w:instrText>
      </w:r>
      <w:r>
        <w:rPr>
          <w:rFonts w:eastAsia="方正仿宋_GBK"/>
          <w:b w:val="0"/>
          <w:color w:val="000000" w:themeColor="text1"/>
          <w:sz w:val="32"/>
          <w:szCs w:val="24"/>
          <w14:textFill>
            <w14:solidFill>
              <w14:schemeClr w14:val="tx1"/>
            </w14:solidFill>
          </w14:textFill>
        </w:rPr>
        <w:fldChar w:fldCharType="separate"/>
      </w:r>
      <w:r>
        <w:fldChar w:fldCharType="begin"/>
      </w:r>
      <w:r>
        <w:instrText xml:space="preserve"> HYPERLINK \l "_Toc174515748" </w:instrText>
      </w:r>
      <w:r>
        <w:fldChar w:fldCharType="separate"/>
      </w:r>
      <w:r>
        <w:rPr>
          <w:rStyle w:val="17"/>
          <w:sz w:val="32"/>
        </w:rPr>
        <w:t>第1章总则</w:t>
      </w:r>
      <w:r>
        <w:rPr>
          <w:sz w:val="32"/>
        </w:rPr>
        <w:tab/>
      </w:r>
      <w:r>
        <w:rPr>
          <w:sz w:val="32"/>
        </w:rPr>
        <w:fldChar w:fldCharType="begin"/>
      </w:r>
      <w:r>
        <w:rPr>
          <w:sz w:val="32"/>
        </w:rPr>
        <w:instrText xml:space="preserve"> PAGEREF _Toc174515748 \h </w:instrText>
      </w:r>
      <w:r>
        <w:rPr>
          <w:sz w:val="32"/>
        </w:rPr>
        <w:fldChar w:fldCharType="separate"/>
      </w:r>
      <w:r>
        <w:rPr>
          <w:sz w:val="32"/>
        </w:rPr>
        <w:t>3</w:t>
      </w:r>
      <w:r>
        <w:rPr>
          <w:sz w:val="32"/>
        </w:rPr>
        <w:fldChar w:fldCharType="end"/>
      </w:r>
      <w:r>
        <w:rPr>
          <w:sz w:val="32"/>
        </w:rPr>
        <w:fldChar w:fldCharType="end"/>
      </w:r>
    </w:p>
    <w:p w14:paraId="4CCB3A1D">
      <w:pPr>
        <w:pStyle w:val="12"/>
        <w:rPr>
          <w:rFonts w:asciiTheme="minorHAnsi" w:hAnsiTheme="minorHAnsi" w:eastAsiaTheme="minorEastAsia" w:cstheme="minorBidi"/>
          <w:sz w:val="22"/>
          <w:szCs w:val="22"/>
        </w:rPr>
      </w:pPr>
      <w:r>
        <w:fldChar w:fldCharType="begin"/>
      </w:r>
      <w:r>
        <w:instrText xml:space="preserve"> HYPERLINK \l "_Toc174515749" </w:instrText>
      </w:r>
      <w:r>
        <w:fldChar w:fldCharType="separate"/>
      </w:r>
      <w:r>
        <w:rPr>
          <w:rStyle w:val="17"/>
          <w:rFonts w:ascii="楷体" w:hAnsi="楷体" w:eastAsia="楷体" w:cs="楷体"/>
          <w:sz w:val="28"/>
        </w:rPr>
        <w:t>1.1方案背景</w:t>
      </w:r>
      <w:r>
        <w:rPr>
          <w:sz w:val="28"/>
        </w:rPr>
        <w:tab/>
      </w:r>
      <w:r>
        <w:rPr>
          <w:sz w:val="28"/>
        </w:rPr>
        <w:fldChar w:fldCharType="begin"/>
      </w:r>
      <w:r>
        <w:rPr>
          <w:sz w:val="28"/>
        </w:rPr>
        <w:instrText xml:space="preserve"> PAGEREF _Toc174515749 \h </w:instrText>
      </w:r>
      <w:r>
        <w:rPr>
          <w:sz w:val="28"/>
        </w:rPr>
        <w:fldChar w:fldCharType="separate"/>
      </w:r>
      <w:r>
        <w:rPr>
          <w:sz w:val="28"/>
        </w:rPr>
        <w:t>3</w:t>
      </w:r>
      <w:r>
        <w:rPr>
          <w:sz w:val="28"/>
        </w:rPr>
        <w:fldChar w:fldCharType="end"/>
      </w:r>
      <w:r>
        <w:rPr>
          <w:sz w:val="28"/>
        </w:rPr>
        <w:fldChar w:fldCharType="end"/>
      </w:r>
    </w:p>
    <w:p w14:paraId="6F1897EF">
      <w:pPr>
        <w:pStyle w:val="12"/>
        <w:rPr>
          <w:rFonts w:asciiTheme="minorHAnsi" w:hAnsiTheme="minorHAnsi" w:eastAsiaTheme="minorEastAsia" w:cstheme="minorBidi"/>
          <w:sz w:val="22"/>
          <w:szCs w:val="22"/>
        </w:rPr>
      </w:pPr>
      <w:r>
        <w:fldChar w:fldCharType="begin"/>
      </w:r>
      <w:r>
        <w:instrText xml:space="preserve"> HYPERLINK \l "_Toc174515750" </w:instrText>
      </w:r>
      <w:r>
        <w:fldChar w:fldCharType="separate"/>
      </w:r>
      <w:r>
        <w:rPr>
          <w:rStyle w:val="17"/>
          <w:rFonts w:ascii="楷体" w:hAnsi="楷体" w:eastAsia="楷体" w:cs="楷体"/>
          <w:sz w:val="28"/>
        </w:rPr>
        <w:t>1.2意义与目的</w:t>
      </w:r>
      <w:r>
        <w:rPr>
          <w:sz w:val="28"/>
        </w:rPr>
        <w:tab/>
      </w:r>
      <w:r>
        <w:rPr>
          <w:sz w:val="28"/>
        </w:rPr>
        <w:fldChar w:fldCharType="begin"/>
      </w:r>
      <w:r>
        <w:rPr>
          <w:sz w:val="28"/>
        </w:rPr>
        <w:instrText xml:space="preserve"> PAGEREF _Toc174515750 \h </w:instrText>
      </w:r>
      <w:r>
        <w:rPr>
          <w:sz w:val="28"/>
        </w:rPr>
        <w:fldChar w:fldCharType="separate"/>
      </w:r>
      <w:r>
        <w:rPr>
          <w:sz w:val="28"/>
        </w:rPr>
        <w:t>3</w:t>
      </w:r>
      <w:r>
        <w:rPr>
          <w:sz w:val="28"/>
        </w:rPr>
        <w:fldChar w:fldCharType="end"/>
      </w:r>
      <w:r>
        <w:rPr>
          <w:sz w:val="28"/>
        </w:rPr>
        <w:fldChar w:fldCharType="end"/>
      </w:r>
    </w:p>
    <w:p w14:paraId="76BA822D">
      <w:pPr>
        <w:pStyle w:val="12"/>
        <w:rPr>
          <w:rFonts w:asciiTheme="minorHAnsi" w:hAnsiTheme="minorHAnsi" w:eastAsiaTheme="minorEastAsia" w:cstheme="minorBidi"/>
          <w:sz w:val="22"/>
          <w:szCs w:val="22"/>
        </w:rPr>
      </w:pPr>
      <w:r>
        <w:fldChar w:fldCharType="begin"/>
      </w:r>
      <w:r>
        <w:instrText xml:space="preserve"> HYPERLINK \l "_Toc174515751" </w:instrText>
      </w:r>
      <w:r>
        <w:fldChar w:fldCharType="separate"/>
      </w:r>
      <w:r>
        <w:rPr>
          <w:rStyle w:val="17"/>
          <w:rFonts w:ascii="楷体" w:hAnsi="楷体" w:eastAsia="楷体" w:cs="楷体"/>
          <w:sz w:val="28"/>
        </w:rPr>
        <w:t>1.3指导思想</w:t>
      </w:r>
      <w:r>
        <w:rPr>
          <w:sz w:val="28"/>
        </w:rPr>
        <w:tab/>
      </w:r>
      <w:r>
        <w:rPr>
          <w:sz w:val="28"/>
        </w:rPr>
        <w:fldChar w:fldCharType="begin"/>
      </w:r>
      <w:r>
        <w:rPr>
          <w:sz w:val="28"/>
        </w:rPr>
        <w:instrText xml:space="preserve"> PAGEREF _Toc174515751 \h </w:instrText>
      </w:r>
      <w:r>
        <w:rPr>
          <w:sz w:val="28"/>
        </w:rPr>
        <w:fldChar w:fldCharType="separate"/>
      </w:r>
      <w:r>
        <w:rPr>
          <w:sz w:val="28"/>
        </w:rPr>
        <w:t>4</w:t>
      </w:r>
      <w:r>
        <w:rPr>
          <w:sz w:val="28"/>
        </w:rPr>
        <w:fldChar w:fldCharType="end"/>
      </w:r>
      <w:r>
        <w:rPr>
          <w:sz w:val="28"/>
        </w:rPr>
        <w:fldChar w:fldCharType="end"/>
      </w:r>
    </w:p>
    <w:p w14:paraId="19AD3321">
      <w:pPr>
        <w:pStyle w:val="12"/>
        <w:rPr>
          <w:rFonts w:asciiTheme="minorHAnsi" w:hAnsiTheme="minorHAnsi" w:eastAsiaTheme="minorEastAsia" w:cstheme="minorBidi"/>
          <w:sz w:val="22"/>
          <w:szCs w:val="22"/>
        </w:rPr>
      </w:pPr>
      <w:r>
        <w:fldChar w:fldCharType="begin"/>
      </w:r>
      <w:r>
        <w:instrText xml:space="preserve"> HYPERLINK \l "_Toc174515752" </w:instrText>
      </w:r>
      <w:r>
        <w:fldChar w:fldCharType="separate"/>
      </w:r>
      <w:r>
        <w:rPr>
          <w:rStyle w:val="17"/>
          <w:rFonts w:ascii="楷体" w:hAnsi="楷体" w:eastAsia="楷体" w:cs="楷体"/>
          <w:sz w:val="28"/>
        </w:rPr>
        <w:t>1.4划定原则</w:t>
      </w:r>
      <w:r>
        <w:rPr>
          <w:sz w:val="28"/>
        </w:rPr>
        <w:tab/>
      </w:r>
      <w:r>
        <w:rPr>
          <w:sz w:val="28"/>
        </w:rPr>
        <w:fldChar w:fldCharType="begin"/>
      </w:r>
      <w:r>
        <w:rPr>
          <w:sz w:val="28"/>
        </w:rPr>
        <w:instrText xml:space="preserve"> PAGEREF _Toc174515752 \h </w:instrText>
      </w:r>
      <w:r>
        <w:rPr>
          <w:sz w:val="28"/>
        </w:rPr>
        <w:fldChar w:fldCharType="separate"/>
      </w:r>
      <w:r>
        <w:rPr>
          <w:sz w:val="28"/>
        </w:rPr>
        <w:t>4</w:t>
      </w:r>
      <w:r>
        <w:rPr>
          <w:sz w:val="28"/>
        </w:rPr>
        <w:fldChar w:fldCharType="end"/>
      </w:r>
      <w:r>
        <w:rPr>
          <w:sz w:val="28"/>
        </w:rPr>
        <w:fldChar w:fldCharType="end"/>
      </w:r>
    </w:p>
    <w:p w14:paraId="65F4AB01">
      <w:pPr>
        <w:pStyle w:val="12"/>
        <w:rPr>
          <w:rFonts w:asciiTheme="minorHAnsi" w:hAnsiTheme="minorHAnsi" w:eastAsiaTheme="minorEastAsia" w:cstheme="minorBidi"/>
          <w:sz w:val="22"/>
          <w:szCs w:val="22"/>
        </w:rPr>
      </w:pPr>
      <w:r>
        <w:fldChar w:fldCharType="begin"/>
      </w:r>
      <w:r>
        <w:instrText xml:space="preserve"> HYPERLINK \l "_Toc174515753" </w:instrText>
      </w:r>
      <w:r>
        <w:fldChar w:fldCharType="separate"/>
      </w:r>
      <w:r>
        <w:rPr>
          <w:rStyle w:val="17"/>
          <w:rFonts w:ascii="楷体" w:hAnsi="楷体" w:eastAsia="楷体" w:cs="楷体"/>
          <w:sz w:val="28"/>
        </w:rPr>
        <w:t>1.5划定范围</w:t>
      </w:r>
      <w:r>
        <w:rPr>
          <w:sz w:val="28"/>
        </w:rPr>
        <w:tab/>
      </w:r>
      <w:r>
        <w:rPr>
          <w:sz w:val="28"/>
        </w:rPr>
        <w:fldChar w:fldCharType="begin"/>
      </w:r>
      <w:r>
        <w:rPr>
          <w:sz w:val="28"/>
        </w:rPr>
        <w:instrText xml:space="preserve"> PAGEREF _Toc174515753 \h </w:instrText>
      </w:r>
      <w:r>
        <w:rPr>
          <w:sz w:val="28"/>
        </w:rPr>
        <w:fldChar w:fldCharType="separate"/>
      </w:r>
      <w:r>
        <w:rPr>
          <w:sz w:val="28"/>
        </w:rPr>
        <w:t>5</w:t>
      </w:r>
      <w:r>
        <w:rPr>
          <w:sz w:val="28"/>
        </w:rPr>
        <w:fldChar w:fldCharType="end"/>
      </w:r>
      <w:r>
        <w:rPr>
          <w:sz w:val="28"/>
        </w:rPr>
        <w:fldChar w:fldCharType="end"/>
      </w:r>
    </w:p>
    <w:p w14:paraId="5C7AC3BB">
      <w:pPr>
        <w:pStyle w:val="11"/>
        <w:rPr>
          <w:rFonts w:asciiTheme="minorHAnsi" w:hAnsiTheme="minorHAnsi" w:eastAsiaTheme="minorEastAsia" w:cstheme="minorBidi"/>
          <w:b w:val="0"/>
          <w:sz w:val="22"/>
          <w:szCs w:val="22"/>
        </w:rPr>
      </w:pPr>
      <w:r>
        <w:fldChar w:fldCharType="begin"/>
      </w:r>
      <w:r>
        <w:instrText xml:space="preserve"> HYPERLINK \l "_Toc174515754" </w:instrText>
      </w:r>
      <w:r>
        <w:fldChar w:fldCharType="separate"/>
      </w:r>
      <w:r>
        <w:rPr>
          <w:rStyle w:val="17"/>
          <w:sz w:val="32"/>
        </w:rPr>
        <w:t>第2章划定依据</w:t>
      </w:r>
      <w:r>
        <w:rPr>
          <w:sz w:val="32"/>
        </w:rPr>
        <w:tab/>
      </w:r>
      <w:r>
        <w:rPr>
          <w:sz w:val="32"/>
        </w:rPr>
        <w:fldChar w:fldCharType="begin"/>
      </w:r>
      <w:r>
        <w:rPr>
          <w:sz w:val="32"/>
        </w:rPr>
        <w:instrText xml:space="preserve"> PAGEREF _Toc174515754 \h </w:instrText>
      </w:r>
      <w:r>
        <w:rPr>
          <w:sz w:val="32"/>
        </w:rPr>
        <w:fldChar w:fldCharType="separate"/>
      </w:r>
      <w:r>
        <w:rPr>
          <w:sz w:val="32"/>
        </w:rPr>
        <w:t>6</w:t>
      </w:r>
      <w:r>
        <w:rPr>
          <w:sz w:val="32"/>
        </w:rPr>
        <w:fldChar w:fldCharType="end"/>
      </w:r>
      <w:r>
        <w:rPr>
          <w:sz w:val="32"/>
        </w:rPr>
        <w:fldChar w:fldCharType="end"/>
      </w:r>
    </w:p>
    <w:p w14:paraId="67A65D73">
      <w:pPr>
        <w:pStyle w:val="12"/>
        <w:rPr>
          <w:rFonts w:asciiTheme="minorHAnsi" w:hAnsiTheme="minorHAnsi" w:eastAsiaTheme="minorEastAsia" w:cstheme="minorBidi"/>
          <w:sz w:val="22"/>
          <w:szCs w:val="22"/>
        </w:rPr>
      </w:pPr>
      <w:r>
        <w:fldChar w:fldCharType="begin"/>
      </w:r>
      <w:r>
        <w:instrText xml:space="preserve"> HYPERLINK \l "_Toc174515755" </w:instrText>
      </w:r>
      <w:r>
        <w:fldChar w:fldCharType="separate"/>
      </w:r>
      <w:r>
        <w:rPr>
          <w:rStyle w:val="17"/>
          <w:rFonts w:ascii="楷体" w:hAnsi="楷体" w:eastAsia="楷体" w:cs="楷体"/>
          <w:sz w:val="28"/>
        </w:rPr>
        <w:t>2.1划定依据</w:t>
      </w:r>
      <w:r>
        <w:rPr>
          <w:sz w:val="28"/>
        </w:rPr>
        <w:tab/>
      </w:r>
      <w:r>
        <w:rPr>
          <w:sz w:val="28"/>
        </w:rPr>
        <w:fldChar w:fldCharType="begin"/>
      </w:r>
      <w:r>
        <w:rPr>
          <w:sz w:val="28"/>
        </w:rPr>
        <w:instrText xml:space="preserve"> PAGEREF _Toc174515755 \h </w:instrText>
      </w:r>
      <w:r>
        <w:rPr>
          <w:sz w:val="28"/>
        </w:rPr>
        <w:fldChar w:fldCharType="separate"/>
      </w:r>
      <w:r>
        <w:rPr>
          <w:sz w:val="28"/>
        </w:rPr>
        <w:t>6</w:t>
      </w:r>
      <w:r>
        <w:rPr>
          <w:sz w:val="28"/>
        </w:rPr>
        <w:fldChar w:fldCharType="end"/>
      </w:r>
      <w:r>
        <w:rPr>
          <w:sz w:val="28"/>
        </w:rPr>
        <w:fldChar w:fldCharType="end"/>
      </w:r>
    </w:p>
    <w:p w14:paraId="4C8B4AD2">
      <w:pPr>
        <w:pStyle w:val="12"/>
        <w:rPr>
          <w:rFonts w:asciiTheme="minorHAnsi" w:hAnsiTheme="minorHAnsi" w:eastAsiaTheme="minorEastAsia" w:cstheme="minorBidi"/>
          <w:sz w:val="22"/>
          <w:szCs w:val="22"/>
        </w:rPr>
      </w:pPr>
      <w:r>
        <w:fldChar w:fldCharType="begin"/>
      </w:r>
      <w:r>
        <w:instrText xml:space="preserve"> HYPERLINK \l "_Toc174515756" </w:instrText>
      </w:r>
      <w:r>
        <w:fldChar w:fldCharType="separate"/>
      </w:r>
      <w:r>
        <w:rPr>
          <w:rStyle w:val="17"/>
          <w:rFonts w:ascii="楷体" w:hAnsi="楷体" w:eastAsia="楷体" w:cs="楷体"/>
          <w:sz w:val="28"/>
        </w:rPr>
        <w:t>2.2术语与定义</w:t>
      </w:r>
      <w:r>
        <w:rPr>
          <w:sz w:val="28"/>
        </w:rPr>
        <w:tab/>
      </w:r>
      <w:r>
        <w:rPr>
          <w:sz w:val="28"/>
        </w:rPr>
        <w:fldChar w:fldCharType="begin"/>
      </w:r>
      <w:r>
        <w:rPr>
          <w:sz w:val="28"/>
        </w:rPr>
        <w:instrText xml:space="preserve"> PAGEREF _Toc174515756 \h </w:instrText>
      </w:r>
      <w:r>
        <w:rPr>
          <w:sz w:val="28"/>
        </w:rPr>
        <w:fldChar w:fldCharType="separate"/>
      </w:r>
      <w:r>
        <w:rPr>
          <w:sz w:val="28"/>
        </w:rPr>
        <w:t>6</w:t>
      </w:r>
      <w:r>
        <w:rPr>
          <w:sz w:val="28"/>
        </w:rPr>
        <w:fldChar w:fldCharType="end"/>
      </w:r>
      <w:r>
        <w:rPr>
          <w:sz w:val="28"/>
        </w:rPr>
        <w:fldChar w:fldCharType="end"/>
      </w:r>
    </w:p>
    <w:p w14:paraId="2D12B2EE">
      <w:pPr>
        <w:pStyle w:val="11"/>
        <w:rPr>
          <w:rFonts w:asciiTheme="minorHAnsi" w:hAnsiTheme="minorHAnsi" w:eastAsiaTheme="minorEastAsia" w:cstheme="minorBidi"/>
          <w:b w:val="0"/>
          <w:sz w:val="22"/>
          <w:szCs w:val="22"/>
        </w:rPr>
      </w:pPr>
      <w:r>
        <w:fldChar w:fldCharType="begin"/>
      </w:r>
      <w:r>
        <w:instrText xml:space="preserve"> HYPERLINK \l "_Toc174515757" </w:instrText>
      </w:r>
      <w:r>
        <w:fldChar w:fldCharType="separate"/>
      </w:r>
      <w:r>
        <w:rPr>
          <w:rStyle w:val="17"/>
          <w:rFonts w:ascii="仿宋" w:hAnsi="仿宋" w:eastAsia="仿宋" w:cs="仿宋"/>
          <w:sz w:val="32"/>
        </w:rPr>
        <w:t>第3章区域概况</w:t>
      </w:r>
      <w:r>
        <w:rPr>
          <w:sz w:val="32"/>
        </w:rPr>
        <w:tab/>
      </w:r>
      <w:r>
        <w:rPr>
          <w:sz w:val="32"/>
        </w:rPr>
        <w:fldChar w:fldCharType="begin"/>
      </w:r>
      <w:r>
        <w:rPr>
          <w:sz w:val="32"/>
        </w:rPr>
        <w:instrText xml:space="preserve"> PAGEREF _Toc174515757 \h </w:instrText>
      </w:r>
      <w:r>
        <w:rPr>
          <w:sz w:val="32"/>
        </w:rPr>
        <w:fldChar w:fldCharType="separate"/>
      </w:r>
      <w:r>
        <w:rPr>
          <w:sz w:val="32"/>
        </w:rPr>
        <w:t>8</w:t>
      </w:r>
      <w:r>
        <w:rPr>
          <w:sz w:val="32"/>
        </w:rPr>
        <w:fldChar w:fldCharType="end"/>
      </w:r>
      <w:r>
        <w:rPr>
          <w:sz w:val="32"/>
        </w:rPr>
        <w:fldChar w:fldCharType="end"/>
      </w:r>
    </w:p>
    <w:p w14:paraId="479393A2">
      <w:pPr>
        <w:pStyle w:val="12"/>
        <w:rPr>
          <w:rFonts w:asciiTheme="minorHAnsi" w:hAnsiTheme="minorHAnsi" w:eastAsiaTheme="minorEastAsia" w:cstheme="minorBidi"/>
          <w:sz w:val="22"/>
          <w:szCs w:val="22"/>
        </w:rPr>
      </w:pPr>
      <w:r>
        <w:fldChar w:fldCharType="begin"/>
      </w:r>
      <w:r>
        <w:instrText xml:space="preserve"> HYPERLINK \l "_Toc174515758" </w:instrText>
      </w:r>
      <w:r>
        <w:fldChar w:fldCharType="separate"/>
      </w:r>
      <w:r>
        <w:rPr>
          <w:rStyle w:val="17"/>
          <w:rFonts w:ascii="楷体" w:hAnsi="楷体" w:eastAsia="楷体" w:cs="楷体"/>
          <w:sz w:val="28"/>
        </w:rPr>
        <w:t>3.1地理位置</w:t>
      </w:r>
      <w:r>
        <w:rPr>
          <w:sz w:val="28"/>
        </w:rPr>
        <w:tab/>
      </w:r>
      <w:r>
        <w:rPr>
          <w:sz w:val="28"/>
        </w:rPr>
        <w:fldChar w:fldCharType="begin"/>
      </w:r>
      <w:r>
        <w:rPr>
          <w:sz w:val="28"/>
        </w:rPr>
        <w:instrText xml:space="preserve"> PAGEREF _Toc174515758 \h </w:instrText>
      </w:r>
      <w:r>
        <w:rPr>
          <w:sz w:val="28"/>
        </w:rPr>
        <w:fldChar w:fldCharType="separate"/>
      </w:r>
      <w:r>
        <w:rPr>
          <w:sz w:val="28"/>
        </w:rPr>
        <w:t>8</w:t>
      </w:r>
      <w:r>
        <w:rPr>
          <w:sz w:val="28"/>
        </w:rPr>
        <w:fldChar w:fldCharType="end"/>
      </w:r>
      <w:r>
        <w:rPr>
          <w:sz w:val="28"/>
        </w:rPr>
        <w:fldChar w:fldCharType="end"/>
      </w:r>
    </w:p>
    <w:p w14:paraId="03C6B14F">
      <w:pPr>
        <w:pStyle w:val="12"/>
        <w:rPr>
          <w:rFonts w:asciiTheme="minorHAnsi" w:hAnsiTheme="minorHAnsi" w:eastAsiaTheme="minorEastAsia" w:cstheme="minorBidi"/>
          <w:sz w:val="22"/>
          <w:szCs w:val="22"/>
        </w:rPr>
      </w:pPr>
      <w:r>
        <w:fldChar w:fldCharType="begin"/>
      </w:r>
      <w:r>
        <w:instrText xml:space="preserve"> HYPERLINK \l "_Toc174515759" </w:instrText>
      </w:r>
      <w:r>
        <w:fldChar w:fldCharType="separate"/>
      </w:r>
      <w:r>
        <w:rPr>
          <w:rStyle w:val="17"/>
          <w:rFonts w:ascii="楷体" w:hAnsi="楷体" w:eastAsia="楷体" w:cs="楷体"/>
          <w:sz w:val="28"/>
        </w:rPr>
        <w:t>3.2行政区划</w:t>
      </w:r>
      <w:r>
        <w:rPr>
          <w:sz w:val="28"/>
        </w:rPr>
        <w:tab/>
      </w:r>
      <w:r>
        <w:rPr>
          <w:sz w:val="28"/>
        </w:rPr>
        <w:fldChar w:fldCharType="begin"/>
      </w:r>
      <w:r>
        <w:rPr>
          <w:sz w:val="28"/>
        </w:rPr>
        <w:instrText xml:space="preserve"> PAGEREF _Toc174515759 \h </w:instrText>
      </w:r>
      <w:r>
        <w:rPr>
          <w:sz w:val="28"/>
        </w:rPr>
        <w:fldChar w:fldCharType="separate"/>
      </w:r>
      <w:r>
        <w:rPr>
          <w:sz w:val="28"/>
        </w:rPr>
        <w:t>8</w:t>
      </w:r>
      <w:r>
        <w:rPr>
          <w:sz w:val="28"/>
        </w:rPr>
        <w:fldChar w:fldCharType="end"/>
      </w:r>
      <w:r>
        <w:rPr>
          <w:sz w:val="28"/>
        </w:rPr>
        <w:fldChar w:fldCharType="end"/>
      </w:r>
    </w:p>
    <w:p w14:paraId="223E31A1">
      <w:pPr>
        <w:pStyle w:val="12"/>
        <w:rPr>
          <w:rFonts w:asciiTheme="minorHAnsi" w:hAnsiTheme="minorHAnsi" w:eastAsiaTheme="minorEastAsia" w:cstheme="minorBidi"/>
          <w:sz w:val="22"/>
          <w:szCs w:val="22"/>
        </w:rPr>
      </w:pPr>
      <w:r>
        <w:fldChar w:fldCharType="begin"/>
      </w:r>
      <w:r>
        <w:instrText xml:space="preserve"> HYPERLINK \l "_Toc174515760" </w:instrText>
      </w:r>
      <w:r>
        <w:fldChar w:fldCharType="separate"/>
      </w:r>
      <w:r>
        <w:rPr>
          <w:rStyle w:val="17"/>
          <w:rFonts w:ascii="楷体" w:hAnsi="楷体" w:eastAsia="楷体" w:cs="楷体"/>
          <w:sz w:val="28"/>
        </w:rPr>
        <w:t>3.3地形地貌</w:t>
      </w:r>
      <w:r>
        <w:rPr>
          <w:sz w:val="28"/>
        </w:rPr>
        <w:tab/>
      </w:r>
      <w:r>
        <w:rPr>
          <w:sz w:val="28"/>
        </w:rPr>
        <w:fldChar w:fldCharType="begin"/>
      </w:r>
      <w:r>
        <w:rPr>
          <w:sz w:val="28"/>
        </w:rPr>
        <w:instrText xml:space="preserve"> PAGEREF _Toc174515760 \h </w:instrText>
      </w:r>
      <w:r>
        <w:rPr>
          <w:sz w:val="28"/>
        </w:rPr>
        <w:fldChar w:fldCharType="separate"/>
      </w:r>
      <w:r>
        <w:rPr>
          <w:sz w:val="28"/>
        </w:rPr>
        <w:t>8</w:t>
      </w:r>
      <w:r>
        <w:rPr>
          <w:sz w:val="28"/>
        </w:rPr>
        <w:fldChar w:fldCharType="end"/>
      </w:r>
      <w:r>
        <w:rPr>
          <w:sz w:val="28"/>
        </w:rPr>
        <w:fldChar w:fldCharType="end"/>
      </w:r>
    </w:p>
    <w:p w14:paraId="4CBCA498">
      <w:pPr>
        <w:pStyle w:val="12"/>
        <w:rPr>
          <w:rFonts w:asciiTheme="minorHAnsi" w:hAnsiTheme="minorHAnsi" w:eastAsiaTheme="minorEastAsia" w:cstheme="minorBidi"/>
          <w:sz w:val="22"/>
          <w:szCs w:val="22"/>
        </w:rPr>
      </w:pPr>
      <w:r>
        <w:fldChar w:fldCharType="begin"/>
      </w:r>
      <w:r>
        <w:instrText xml:space="preserve"> HYPERLINK \l "_Toc174515761" </w:instrText>
      </w:r>
      <w:r>
        <w:fldChar w:fldCharType="separate"/>
      </w:r>
      <w:r>
        <w:rPr>
          <w:rStyle w:val="17"/>
          <w:rFonts w:ascii="楷体" w:hAnsi="楷体" w:eastAsia="楷体" w:cs="楷体"/>
          <w:sz w:val="28"/>
        </w:rPr>
        <w:t>3.4气候气象</w:t>
      </w:r>
      <w:r>
        <w:rPr>
          <w:sz w:val="28"/>
        </w:rPr>
        <w:tab/>
      </w:r>
      <w:r>
        <w:rPr>
          <w:sz w:val="28"/>
        </w:rPr>
        <w:fldChar w:fldCharType="begin"/>
      </w:r>
      <w:r>
        <w:rPr>
          <w:sz w:val="28"/>
        </w:rPr>
        <w:instrText xml:space="preserve"> PAGEREF _Toc174515761 \h </w:instrText>
      </w:r>
      <w:r>
        <w:rPr>
          <w:sz w:val="28"/>
        </w:rPr>
        <w:fldChar w:fldCharType="separate"/>
      </w:r>
      <w:r>
        <w:rPr>
          <w:sz w:val="28"/>
        </w:rPr>
        <w:t>9</w:t>
      </w:r>
      <w:r>
        <w:rPr>
          <w:sz w:val="28"/>
        </w:rPr>
        <w:fldChar w:fldCharType="end"/>
      </w:r>
      <w:r>
        <w:rPr>
          <w:sz w:val="28"/>
        </w:rPr>
        <w:fldChar w:fldCharType="end"/>
      </w:r>
    </w:p>
    <w:p w14:paraId="7D1B8BE3">
      <w:pPr>
        <w:pStyle w:val="12"/>
        <w:rPr>
          <w:rFonts w:asciiTheme="minorHAnsi" w:hAnsiTheme="minorHAnsi" w:eastAsiaTheme="minorEastAsia" w:cstheme="minorBidi"/>
          <w:sz w:val="22"/>
          <w:szCs w:val="22"/>
        </w:rPr>
      </w:pPr>
      <w:r>
        <w:fldChar w:fldCharType="begin"/>
      </w:r>
      <w:r>
        <w:instrText xml:space="preserve"> HYPERLINK \l "_Toc174515762" </w:instrText>
      </w:r>
      <w:r>
        <w:fldChar w:fldCharType="separate"/>
      </w:r>
      <w:r>
        <w:rPr>
          <w:rStyle w:val="17"/>
          <w:rFonts w:ascii="楷体" w:hAnsi="楷体" w:eastAsia="楷体" w:cs="楷体"/>
          <w:sz w:val="28"/>
        </w:rPr>
        <w:t>3.5农业发展</w:t>
      </w:r>
      <w:r>
        <w:rPr>
          <w:sz w:val="28"/>
        </w:rPr>
        <w:tab/>
      </w:r>
      <w:r>
        <w:rPr>
          <w:sz w:val="28"/>
        </w:rPr>
        <w:fldChar w:fldCharType="begin"/>
      </w:r>
      <w:r>
        <w:rPr>
          <w:sz w:val="28"/>
        </w:rPr>
        <w:instrText xml:space="preserve"> PAGEREF _Toc174515762 \h </w:instrText>
      </w:r>
      <w:r>
        <w:rPr>
          <w:sz w:val="28"/>
        </w:rPr>
        <w:fldChar w:fldCharType="separate"/>
      </w:r>
      <w:r>
        <w:rPr>
          <w:sz w:val="28"/>
        </w:rPr>
        <w:t>10</w:t>
      </w:r>
      <w:r>
        <w:rPr>
          <w:sz w:val="28"/>
        </w:rPr>
        <w:fldChar w:fldCharType="end"/>
      </w:r>
      <w:r>
        <w:rPr>
          <w:sz w:val="28"/>
        </w:rPr>
        <w:fldChar w:fldCharType="end"/>
      </w:r>
    </w:p>
    <w:p w14:paraId="776582DA">
      <w:pPr>
        <w:pStyle w:val="12"/>
        <w:rPr>
          <w:rFonts w:asciiTheme="minorHAnsi" w:hAnsiTheme="minorHAnsi" w:eastAsiaTheme="minorEastAsia" w:cstheme="minorBidi"/>
          <w:sz w:val="22"/>
          <w:szCs w:val="22"/>
        </w:rPr>
      </w:pPr>
      <w:r>
        <w:fldChar w:fldCharType="begin"/>
      </w:r>
      <w:r>
        <w:instrText xml:space="preserve"> HYPERLINK \l "_Toc174515763" </w:instrText>
      </w:r>
      <w:r>
        <w:fldChar w:fldCharType="separate"/>
      </w:r>
      <w:r>
        <w:rPr>
          <w:rStyle w:val="17"/>
          <w:rFonts w:ascii="楷体" w:hAnsi="楷体" w:eastAsia="楷体" w:cs="楷体"/>
          <w:sz w:val="28"/>
        </w:rPr>
        <w:t>3.6特殊保护区域</w:t>
      </w:r>
      <w:r>
        <w:rPr>
          <w:sz w:val="28"/>
        </w:rPr>
        <w:tab/>
      </w:r>
      <w:r>
        <w:rPr>
          <w:sz w:val="28"/>
        </w:rPr>
        <w:fldChar w:fldCharType="begin"/>
      </w:r>
      <w:r>
        <w:rPr>
          <w:sz w:val="28"/>
        </w:rPr>
        <w:instrText xml:space="preserve"> PAGEREF _Toc174515763 \h </w:instrText>
      </w:r>
      <w:r>
        <w:rPr>
          <w:sz w:val="28"/>
        </w:rPr>
        <w:fldChar w:fldCharType="separate"/>
      </w:r>
      <w:r>
        <w:rPr>
          <w:sz w:val="28"/>
        </w:rPr>
        <w:t>10</w:t>
      </w:r>
      <w:r>
        <w:rPr>
          <w:sz w:val="28"/>
        </w:rPr>
        <w:fldChar w:fldCharType="end"/>
      </w:r>
      <w:r>
        <w:rPr>
          <w:sz w:val="28"/>
        </w:rPr>
        <w:fldChar w:fldCharType="end"/>
      </w:r>
    </w:p>
    <w:p w14:paraId="112DBB6A">
      <w:pPr>
        <w:pStyle w:val="11"/>
        <w:rPr>
          <w:rFonts w:asciiTheme="minorHAnsi" w:hAnsiTheme="minorHAnsi" w:eastAsiaTheme="minorEastAsia" w:cstheme="minorBidi"/>
          <w:b w:val="0"/>
          <w:sz w:val="22"/>
          <w:szCs w:val="22"/>
        </w:rPr>
      </w:pPr>
      <w:r>
        <w:fldChar w:fldCharType="begin"/>
      </w:r>
      <w:r>
        <w:instrText xml:space="preserve"> HYPERLINK \l "_Toc174515764" </w:instrText>
      </w:r>
      <w:r>
        <w:fldChar w:fldCharType="separate"/>
      </w:r>
      <w:r>
        <w:rPr>
          <w:rStyle w:val="17"/>
          <w:rFonts w:ascii="仿宋" w:hAnsi="仿宋" w:eastAsia="仿宋" w:cs="仿宋"/>
          <w:sz w:val="32"/>
        </w:rPr>
        <w:t>第4章秸秆禁烧区和限烧区划定方案</w:t>
      </w:r>
      <w:r>
        <w:rPr>
          <w:sz w:val="32"/>
        </w:rPr>
        <w:tab/>
      </w:r>
      <w:r>
        <w:rPr>
          <w:sz w:val="32"/>
        </w:rPr>
        <w:fldChar w:fldCharType="begin"/>
      </w:r>
      <w:r>
        <w:rPr>
          <w:sz w:val="32"/>
        </w:rPr>
        <w:instrText xml:space="preserve"> PAGEREF _Toc174515764 \h </w:instrText>
      </w:r>
      <w:r>
        <w:rPr>
          <w:sz w:val="32"/>
        </w:rPr>
        <w:fldChar w:fldCharType="separate"/>
      </w:r>
      <w:r>
        <w:rPr>
          <w:sz w:val="32"/>
        </w:rPr>
        <w:t>11</w:t>
      </w:r>
      <w:r>
        <w:rPr>
          <w:sz w:val="32"/>
        </w:rPr>
        <w:fldChar w:fldCharType="end"/>
      </w:r>
      <w:r>
        <w:rPr>
          <w:sz w:val="32"/>
        </w:rPr>
        <w:fldChar w:fldCharType="end"/>
      </w:r>
    </w:p>
    <w:p w14:paraId="2228F52A">
      <w:pPr>
        <w:pStyle w:val="12"/>
        <w:rPr>
          <w:rFonts w:asciiTheme="minorHAnsi" w:hAnsiTheme="minorHAnsi" w:eastAsiaTheme="minorEastAsia" w:cstheme="minorBidi"/>
          <w:sz w:val="22"/>
          <w:szCs w:val="22"/>
        </w:rPr>
      </w:pPr>
      <w:r>
        <w:fldChar w:fldCharType="begin"/>
      </w:r>
      <w:r>
        <w:instrText xml:space="preserve"> HYPERLINK \l "_Toc174515765" </w:instrText>
      </w:r>
      <w:r>
        <w:fldChar w:fldCharType="separate"/>
      </w:r>
      <w:r>
        <w:rPr>
          <w:rStyle w:val="17"/>
          <w:rFonts w:ascii="楷体" w:hAnsi="楷体" w:eastAsia="楷体" w:cs="楷体"/>
          <w:sz w:val="28"/>
        </w:rPr>
        <w:t>4.1禁烧区划定</w:t>
      </w:r>
      <w:r>
        <w:rPr>
          <w:sz w:val="28"/>
        </w:rPr>
        <w:tab/>
      </w:r>
      <w:r>
        <w:rPr>
          <w:sz w:val="28"/>
        </w:rPr>
        <w:fldChar w:fldCharType="begin"/>
      </w:r>
      <w:r>
        <w:rPr>
          <w:sz w:val="28"/>
        </w:rPr>
        <w:instrText xml:space="preserve"> PAGEREF _Toc174515765 \h </w:instrText>
      </w:r>
      <w:r>
        <w:rPr>
          <w:sz w:val="28"/>
        </w:rPr>
        <w:fldChar w:fldCharType="separate"/>
      </w:r>
      <w:r>
        <w:rPr>
          <w:sz w:val="28"/>
        </w:rPr>
        <w:t>11</w:t>
      </w:r>
      <w:r>
        <w:rPr>
          <w:sz w:val="28"/>
        </w:rPr>
        <w:fldChar w:fldCharType="end"/>
      </w:r>
      <w:r>
        <w:rPr>
          <w:sz w:val="28"/>
        </w:rPr>
        <w:fldChar w:fldCharType="end"/>
      </w:r>
    </w:p>
    <w:p w14:paraId="418F02FA">
      <w:pPr>
        <w:pStyle w:val="12"/>
        <w:rPr>
          <w:rFonts w:asciiTheme="minorHAnsi" w:hAnsiTheme="minorHAnsi" w:eastAsiaTheme="minorEastAsia" w:cstheme="minorBidi"/>
          <w:sz w:val="22"/>
          <w:szCs w:val="22"/>
        </w:rPr>
      </w:pPr>
      <w:r>
        <w:fldChar w:fldCharType="begin"/>
      </w:r>
      <w:r>
        <w:instrText xml:space="preserve"> HYPERLINK \l "_Toc174515766" </w:instrText>
      </w:r>
      <w:r>
        <w:fldChar w:fldCharType="separate"/>
      </w:r>
      <w:r>
        <w:rPr>
          <w:rStyle w:val="17"/>
          <w:rFonts w:ascii="楷体" w:hAnsi="楷体" w:eastAsia="楷体" w:cs="楷体"/>
          <w:sz w:val="28"/>
        </w:rPr>
        <w:t>4.2限烧区划定</w:t>
      </w:r>
      <w:r>
        <w:rPr>
          <w:sz w:val="28"/>
        </w:rPr>
        <w:tab/>
      </w:r>
      <w:r>
        <w:rPr>
          <w:sz w:val="28"/>
        </w:rPr>
        <w:fldChar w:fldCharType="begin"/>
      </w:r>
      <w:r>
        <w:rPr>
          <w:sz w:val="28"/>
        </w:rPr>
        <w:instrText xml:space="preserve"> PAGEREF _Toc174515766 \h </w:instrText>
      </w:r>
      <w:r>
        <w:rPr>
          <w:sz w:val="28"/>
        </w:rPr>
        <w:fldChar w:fldCharType="separate"/>
      </w:r>
      <w:r>
        <w:rPr>
          <w:sz w:val="28"/>
        </w:rPr>
        <w:t>13</w:t>
      </w:r>
      <w:r>
        <w:rPr>
          <w:sz w:val="28"/>
        </w:rPr>
        <w:fldChar w:fldCharType="end"/>
      </w:r>
      <w:r>
        <w:rPr>
          <w:sz w:val="28"/>
        </w:rPr>
        <w:fldChar w:fldCharType="end"/>
      </w:r>
    </w:p>
    <w:p w14:paraId="3D56E71A">
      <w:pPr>
        <w:pStyle w:val="12"/>
        <w:rPr>
          <w:rFonts w:asciiTheme="minorHAnsi" w:hAnsiTheme="minorHAnsi" w:eastAsiaTheme="minorEastAsia" w:cstheme="minorBidi"/>
          <w:sz w:val="22"/>
          <w:szCs w:val="22"/>
        </w:rPr>
      </w:pPr>
      <w:r>
        <w:fldChar w:fldCharType="begin"/>
      </w:r>
      <w:r>
        <w:instrText xml:space="preserve"> HYPERLINK \l "_Toc174515767" </w:instrText>
      </w:r>
      <w:r>
        <w:fldChar w:fldCharType="separate"/>
      </w:r>
      <w:r>
        <w:rPr>
          <w:rStyle w:val="17"/>
          <w:rFonts w:ascii="楷体" w:hAnsi="楷体" w:eastAsia="楷体" w:cs="楷体"/>
          <w:sz w:val="28"/>
        </w:rPr>
        <w:t>4.3禁烧区和限烧区划定方案</w:t>
      </w:r>
      <w:r>
        <w:rPr>
          <w:sz w:val="28"/>
        </w:rPr>
        <w:tab/>
      </w:r>
      <w:r>
        <w:rPr>
          <w:sz w:val="28"/>
        </w:rPr>
        <w:fldChar w:fldCharType="begin"/>
      </w:r>
      <w:r>
        <w:rPr>
          <w:sz w:val="28"/>
        </w:rPr>
        <w:instrText xml:space="preserve"> PAGEREF _Toc174515767 \h </w:instrText>
      </w:r>
      <w:r>
        <w:rPr>
          <w:sz w:val="28"/>
        </w:rPr>
        <w:fldChar w:fldCharType="separate"/>
      </w:r>
      <w:r>
        <w:rPr>
          <w:sz w:val="28"/>
        </w:rPr>
        <w:t>14</w:t>
      </w:r>
      <w:r>
        <w:rPr>
          <w:sz w:val="28"/>
        </w:rPr>
        <w:fldChar w:fldCharType="end"/>
      </w:r>
      <w:r>
        <w:rPr>
          <w:sz w:val="28"/>
        </w:rPr>
        <w:fldChar w:fldCharType="end"/>
      </w:r>
    </w:p>
    <w:p w14:paraId="2E5EA2CF">
      <w:pPr>
        <w:pStyle w:val="11"/>
        <w:rPr>
          <w:rFonts w:asciiTheme="minorHAnsi" w:hAnsiTheme="minorHAnsi" w:eastAsiaTheme="minorEastAsia" w:cstheme="minorBidi"/>
          <w:b w:val="0"/>
          <w:sz w:val="22"/>
          <w:szCs w:val="22"/>
        </w:rPr>
      </w:pPr>
      <w:r>
        <w:fldChar w:fldCharType="begin"/>
      </w:r>
      <w:r>
        <w:instrText xml:space="preserve"> HYPERLINK \l "_Toc174515768" </w:instrText>
      </w:r>
      <w:r>
        <w:fldChar w:fldCharType="separate"/>
      </w:r>
      <w:r>
        <w:rPr>
          <w:rStyle w:val="17"/>
          <w:rFonts w:ascii="仿宋" w:hAnsi="仿宋" w:eastAsia="仿宋" w:cs="仿宋"/>
          <w:sz w:val="32"/>
        </w:rPr>
        <w:t>第5章管控要求及管理办法</w:t>
      </w:r>
      <w:r>
        <w:rPr>
          <w:sz w:val="32"/>
        </w:rPr>
        <w:tab/>
      </w:r>
      <w:r>
        <w:rPr>
          <w:sz w:val="32"/>
        </w:rPr>
        <w:fldChar w:fldCharType="begin"/>
      </w:r>
      <w:r>
        <w:rPr>
          <w:sz w:val="32"/>
        </w:rPr>
        <w:instrText xml:space="preserve"> PAGEREF _Toc174515768 \h </w:instrText>
      </w:r>
      <w:r>
        <w:rPr>
          <w:sz w:val="32"/>
        </w:rPr>
        <w:fldChar w:fldCharType="separate"/>
      </w:r>
      <w:r>
        <w:rPr>
          <w:sz w:val="32"/>
        </w:rPr>
        <w:t>16</w:t>
      </w:r>
      <w:r>
        <w:rPr>
          <w:sz w:val="32"/>
        </w:rPr>
        <w:fldChar w:fldCharType="end"/>
      </w:r>
      <w:r>
        <w:rPr>
          <w:sz w:val="32"/>
        </w:rPr>
        <w:fldChar w:fldCharType="end"/>
      </w:r>
    </w:p>
    <w:p w14:paraId="1D700767">
      <w:pPr>
        <w:pStyle w:val="12"/>
        <w:rPr>
          <w:rFonts w:asciiTheme="minorHAnsi" w:hAnsiTheme="minorHAnsi" w:eastAsiaTheme="minorEastAsia" w:cstheme="minorBidi"/>
          <w:sz w:val="22"/>
          <w:szCs w:val="22"/>
        </w:rPr>
      </w:pPr>
      <w:r>
        <w:fldChar w:fldCharType="begin"/>
      </w:r>
      <w:r>
        <w:instrText xml:space="preserve"> HYPERLINK \l "_Toc174515769" </w:instrText>
      </w:r>
      <w:r>
        <w:fldChar w:fldCharType="separate"/>
      </w:r>
      <w:r>
        <w:rPr>
          <w:rStyle w:val="17"/>
          <w:rFonts w:ascii="楷体" w:hAnsi="楷体" w:eastAsia="楷体" w:cs="楷体"/>
          <w:sz w:val="28"/>
        </w:rPr>
        <w:t>5.1管控要求</w:t>
      </w:r>
      <w:r>
        <w:rPr>
          <w:sz w:val="28"/>
        </w:rPr>
        <w:tab/>
      </w:r>
      <w:r>
        <w:rPr>
          <w:sz w:val="28"/>
        </w:rPr>
        <w:fldChar w:fldCharType="begin"/>
      </w:r>
      <w:r>
        <w:rPr>
          <w:sz w:val="28"/>
        </w:rPr>
        <w:instrText xml:space="preserve"> PAGEREF _Toc174515769 \h </w:instrText>
      </w:r>
      <w:r>
        <w:rPr>
          <w:sz w:val="28"/>
        </w:rPr>
        <w:fldChar w:fldCharType="separate"/>
      </w:r>
      <w:r>
        <w:rPr>
          <w:sz w:val="28"/>
        </w:rPr>
        <w:t>16</w:t>
      </w:r>
      <w:r>
        <w:rPr>
          <w:sz w:val="28"/>
        </w:rPr>
        <w:fldChar w:fldCharType="end"/>
      </w:r>
      <w:r>
        <w:rPr>
          <w:sz w:val="28"/>
        </w:rPr>
        <w:fldChar w:fldCharType="end"/>
      </w:r>
    </w:p>
    <w:p w14:paraId="5EC46AE5">
      <w:pPr>
        <w:pStyle w:val="12"/>
        <w:rPr>
          <w:rFonts w:asciiTheme="minorHAnsi" w:hAnsiTheme="minorHAnsi" w:eastAsiaTheme="minorEastAsia" w:cstheme="minorBidi"/>
          <w:sz w:val="22"/>
          <w:szCs w:val="22"/>
        </w:rPr>
      </w:pPr>
      <w:r>
        <w:fldChar w:fldCharType="begin"/>
      </w:r>
      <w:r>
        <w:instrText xml:space="preserve"> HYPERLINK \l "_Toc174515770" </w:instrText>
      </w:r>
      <w:r>
        <w:fldChar w:fldCharType="separate"/>
      </w:r>
      <w:r>
        <w:rPr>
          <w:rStyle w:val="17"/>
          <w:rFonts w:ascii="楷体" w:hAnsi="楷体" w:eastAsia="楷体" w:cs="楷体"/>
          <w:sz w:val="28"/>
        </w:rPr>
        <w:t>5.2管理办法</w:t>
      </w:r>
      <w:r>
        <w:rPr>
          <w:sz w:val="28"/>
        </w:rPr>
        <w:tab/>
      </w:r>
      <w:r>
        <w:rPr>
          <w:sz w:val="28"/>
        </w:rPr>
        <w:fldChar w:fldCharType="begin"/>
      </w:r>
      <w:r>
        <w:rPr>
          <w:sz w:val="28"/>
        </w:rPr>
        <w:instrText xml:space="preserve"> PAGEREF _Toc174515770 \h </w:instrText>
      </w:r>
      <w:r>
        <w:rPr>
          <w:sz w:val="28"/>
        </w:rPr>
        <w:fldChar w:fldCharType="separate"/>
      </w:r>
      <w:r>
        <w:rPr>
          <w:sz w:val="28"/>
        </w:rPr>
        <w:t>17</w:t>
      </w:r>
      <w:r>
        <w:rPr>
          <w:sz w:val="28"/>
        </w:rPr>
        <w:fldChar w:fldCharType="end"/>
      </w:r>
      <w:r>
        <w:rPr>
          <w:sz w:val="28"/>
        </w:rPr>
        <w:fldChar w:fldCharType="end"/>
      </w:r>
    </w:p>
    <w:p w14:paraId="1A0FA448">
      <w:pPr>
        <w:pStyle w:val="12"/>
        <w:rPr>
          <w:rFonts w:asciiTheme="minorHAnsi" w:hAnsiTheme="minorHAnsi" w:eastAsiaTheme="minorEastAsia" w:cstheme="minorBidi"/>
          <w:sz w:val="22"/>
          <w:szCs w:val="22"/>
        </w:rPr>
      </w:pPr>
      <w:r>
        <w:fldChar w:fldCharType="begin"/>
      </w:r>
      <w:r>
        <w:instrText xml:space="preserve"> HYPERLINK \l "_Toc174515771" </w:instrText>
      </w:r>
      <w:r>
        <w:fldChar w:fldCharType="separate"/>
      </w:r>
      <w:r>
        <w:rPr>
          <w:rStyle w:val="17"/>
          <w:rFonts w:ascii="楷体" w:hAnsi="楷体" w:eastAsia="楷体" w:cs="楷体"/>
          <w:sz w:val="28"/>
        </w:rPr>
        <w:t>5.3管控保障措施</w:t>
      </w:r>
      <w:r>
        <w:rPr>
          <w:sz w:val="28"/>
        </w:rPr>
        <w:tab/>
      </w:r>
      <w:r>
        <w:rPr>
          <w:sz w:val="28"/>
        </w:rPr>
        <w:fldChar w:fldCharType="begin"/>
      </w:r>
      <w:r>
        <w:rPr>
          <w:sz w:val="28"/>
        </w:rPr>
        <w:instrText xml:space="preserve"> PAGEREF _Toc174515771 \h </w:instrText>
      </w:r>
      <w:r>
        <w:rPr>
          <w:sz w:val="28"/>
        </w:rPr>
        <w:fldChar w:fldCharType="separate"/>
      </w:r>
      <w:r>
        <w:rPr>
          <w:sz w:val="28"/>
        </w:rPr>
        <w:t>19</w:t>
      </w:r>
      <w:r>
        <w:rPr>
          <w:sz w:val="28"/>
        </w:rPr>
        <w:fldChar w:fldCharType="end"/>
      </w:r>
      <w:r>
        <w:rPr>
          <w:sz w:val="28"/>
        </w:rPr>
        <w:fldChar w:fldCharType="end"/>
      </w:r>
    </w:p>
    <w:p w14:paraId="6FE748A5">
      <w:pPr>
        <w:pStyle w:val="12"/>
        <w:rPr>
          <w:rFonts w:asciiTheme="minorHAnsi" w:hAnsiTheme="minorHAnsi" w:eastAsiaTheme="minorEastAsia" w:cstheme="minorBidi"/>
          <w:sz w:val="22"/>
          <w:szCs w:val="22"/>
        </w:rPr>
      </w:pPr>
      <w:r>
        <w:fldChar w:fldCharType="begin"/>
      </w:r>
      <w:r>
        <w:instrText xml:space="preserve"> HYPERLINK \l "_Toc174515772" </w:instrText>
      </w:r>
      <w:r>
        <w:fldChar w:fldCharType="separate"/>
      </w:r>
      <w:r>
        <w:rPr>
          <w:rStyle w:val="17"/>
          <w:rFonts w:ascii="楷体" w:hAnsi="楷体" w:eastAsia="楷体" w:cs="楷体"/>
          <w:sz w:val="28"/>
        </w:rPr>
        <w:t>5.4秸秆离田管理措施</w:t>
      </w:r>
      <w:r>
        <w:rPr>
          <w:sz w:val="28"/>
        </w:rPr>
        <w:tab/>
      </w:r>
      <w:r>
        <w:rPr>
          <w:sz w:val="28"/>
        </w:rPr>
        <w:fldChar w:fldCharType="begin"/>
      </w:r>
      <w:r>
        <w:rPr>
          <w:sz w:val="28"/>
        </w:rPr>
        <w:instrText xml:space="preserve"> PAGEREF _Toc174515772 \h </w:instrText>
      </w:r>
      <w:r>
        <w:rPr>
          <w:sz w:val="28"/>
        </w:rPr>
        <w:fldChar w:fldCharType="separate"/>
      </w:r>
      <w:r>
        <w:rPr>
          <w:sz w:val="28"/>
        </w:rPr>
        <w:t>19</w:t>
      </w:r>
      <w:r>
        <w:rPr>
          <w:sz w:val="28"/>
        </w:rPr>
        <w:fldChar w:fldCharType="end"/>
      </w:r>
      <w:r>
        <w:rPr>
          <w:sz w:val="28"/>
        </w:rPr>
        <w:fldChar w:fldCharType="end"/>
      </w:r>
    </w:p>
    <w:p w14:paraId="577329A5">
      <w:pPr>
        <w:pStyle w:val="12"/>
        <w:rPr>
          <w:rFonts w:asciiTheme="minorHAnsi" w:hAnsiTheme="minorHAnsi" w:eastAsiaTheme="minorEastAsia" w:cstheme="minorBidi"/>
          <w:sz w:val="22"/>
          <w:szCs w:val="22"/>
        </w:rPr>
      </w:pPr>
      <w:r>
        <w:fldChar w:fldCharType="begin"/>
      </w:r>
      <w:r>
        <w:instrText xml:space="preserve"> HYPERLINK \l "_Toc174515773" </w:instrText>
      </w:r>
      <w:r>
        <w:fldChar w:fldCharType="separate"/>
      </w:r>
      <w:r>
        <w:rPr>
          <w:rStyle w:val="17"/>
          <w:rFonts w:ascii="楷体" w:hAnsi="楷体" w:eastAsia="楷体" w:cs="楷体"/>
          <w:sz w:val="28"/>
        </w:rPr>
        <w:t>5.5组织领导</w:t>
      </w:r>
      <w:r>
        <w:rPr>
          <w:sz w:val="28"/>
        </w:rPr>
        <w:tab/>
      </w:r>
      <w:r>
        <w:rPr>
          <w:sz w:val="28"/>
        </w:rPr>
        <w:fldChar w:fldCharType="begin"/>
      </w:r>
      <w:r>
        <w:rPr>
          <w:sz w:val="28"/>
        </w:rPr>
        <w:instrText xml:space="preserve"> PAGEREF _Toc174515773 \h </w:instrText>
      </w:r>
      <w:r>
        <w:rPr>
          <w:sz w:val="28"/>
        </w:rPr>
        <w:fldChar w:fldCharType="separate"/>
      </w:r>
      <w:r>
        <w:rPr>
          <w:sz w:val="28"/>
        </w:rPr>
        <w:t>20</w:t>
      </w:r>
      <w:r>
        <w:rPr>
          <w:sz w:val="28"/>
        </w:rPr>
        <w:fldChar w:fldCharType="end"/>
      </w:r>
      <w:r>
        <w:rPr>
          <w:sz w:val="28"/>
        </w:rPr>
        <w:fldChar w:fldCharType="end"/>
      </w:r>
    </w:p>
    <w:p w14:paraId="34D0B5E3">
      <w:pPr>
        <w:pStyle w:val="12"/>
        <w:rPr>
          <w:rFonts w:asciiTheme="minorHAnsi" w:hAnsiTheme="minorHAnsi" w:eastAsiaTheme="minorEastAsia" w:cstheme="minorBidi"/>
          <w:sz w:val="22"/>
          <w:szCs w:val="22"/>
        </w:rPr>
      </w:pPr>
      <w:r>
        <w:fldChar w:fldCharType="begin"/>
      </w:r>
      <w:r>
        <w:instrText xml:space="preserve"> HYPERLINK \l "_Toc174515774" </w:instrText>
      </w:r>
      <w:r>
        <w:fldChar w:fldCharType="separate"/>
      </w:r>
      <w:r>
        <w:rPr>
          <w:rStyle w:val="17"/>
          <w:rFonts w:ascii="楷体" w:hAnsi="楷体" w:eastAsia="楷体" w:cs="楷体"/>
          <w:sz w:val="28"/>
        </w:rPr>
        <w:t>5.6禁烧区管理规定</w:t>
      </w:r>
      <w:r>
        <w:rPr>
          <w:sz w:val="28"/>
        </w:rPr>
        <w:tab/>
      </w:r>
      <w:r>
        <w:rPr>
          <w:sz w:val="28"/>
        </w:rPr>
        <w:fldChar w:fldCharType="begin"/>
      </w:r>
      <w:r>
        <w:rPr>
          <w:sz w:val="28"/>
        </w:rPr>
        <w:instrText xml:space="preserve"> PAGEREF _Toc174515774 \h </w:instrText>
      </w:r>
      <w:r>
        <w:rPr>
          <w:sz w:val="28"/>
        </w:rPr>
        <w:fldChar w:fldCharType="separate"/>
      </w:r>
      <w:r>
        <w:rPr>
          <w:sz w:val="28"/>
        </w:rPr>
        <w:t>20</w:t>
      </w:r>
      <w:r>
        <w:rPr>
          <w:sz w:val="28"/>
        </w:rPr>
        <w:fldChar w:fldCharType="end"/>
      </w:r>
      <w:r>
        <w:rPr>
          <w:sz w:val="28"/>
        </w:rPr>
        <w:fldChar w:fldCharType="end"/>
      </w:r>
    </w:p>
    <w:p w14:paraId="3114A02A">
      <w:pPr>
        <w:pStyle w:val="2"/>
        <w:numPr>
          <w:ilvl w:val="0"/>
          <w:numId w:val="0"/>
        </w:numPr>
        <w:spacing w:before="240" w:after="240" w:line="360" w:lineRule="auto"/>
        <w:rPr>
          <w:rFonts w:eastAsia="方正仿宋_GBK"/>
          <w:color w:val="000000" w:themeColor="text1"/>
          <w:szCs w:val="24"/>
          <w14:textFill>
            <w14:solidFill>
              <w14:schemeClr w14:val="tx1"/>
            </w14:solidFill>
          </w14:textFill>
        </w:rPr>
      </w:pPr>
      <w:r>
        <w:rPr>
          <w:rFonts w:eastAsia="方正仿宋_GBK"/>
          <w:color w:val="000000" w:themeColor="text1"/>
          <w:sz w:val="40"/>
          <w:szCs w:val="24"/>
          <w14:textFill>
            <w14:solidFill>
              <w14:schemeClr w14:val="tx1"/>
            </w14:solidFill>
          </w14:textFill>
        </w:rPr>
        <w:fldChar w:fldCharType="end"/>
      </w:r>
      <w:r>
        <w:rPr>
          <w:rFonts w:eastAsia="方正仿宋_GBK"/>
          <w:color w:val="000000" w:themeColor="text1"/>
          <w:sz w:val="36"/>
          <w:szCs w:val="24"/>
          <w14:textFill>
            <w14:solidFill>
              <w14:schemeClr w14:val="tx1"/>
            </w14:solidFill>
          </w14:textFill>
        </w:rPr>
        <w:br w:type="page"/>
      </w:r>
    </w:p>
    <w:p w14:paraId="0518CD79">
      <w:pPr>
        <w:pStyle w:val="2"/>
        <w:numPr>
          <w:ilvl w:val="0"/>
          <w:numId w:val="0"/>
        </w:numPr>
        <w:spacing w:before="240" w:after="240" w:line="360" w:lineRule="auto"/>
        <w:rPr>
          <w:rFonts w:eastAsiaTheme="minorEastAsia"/>
          <w:color w:val="000000" w:themeColor="text1"/>
          <w:sz w:val="44"/>
          <w14:textFill>
            <w14:solidFill>
              <w14:schemeClr w14:val="tx1"/>
            </w14:solidFill>
          </w14:textFill>
        </w:rPr>
      </w:pPr>
      <w:bookmarkStart w:id="0" w:name="_Toc174515748"/>
      <w:r>
        <w:rPr>
          <w:rFonts w:eastAsiaTheme="minorEastAsia"/>
          <w:color w:val="000000" w:themeColor="text1"/>
          <w:sz w:val="44"/>
          <w14:textFill>
            <w14:solidFill>
              <w14:schemeClr w14:val="tx1"/>
            </w14:solidFill>
          </w14:textFill>
        </w:rPr>
        <w:t>第1章总则</w:t>
      </w:r>
      <w:bookmarkEnd w:id="0"/>
    </w:p>
    <w:p w14:paraId="7AD2D285">
      <w:pPr>
        <w:ind w:firstLine="643"/>
        <w:rPr>
          <w:rFonts w:ascii="仿宋" w:hAnsi="仿宋" w:eastAsia="仿宋" w:cs="仿宋"/>
          <w:b/>
          <w:bCs/>
          <w:color w:val="000000" w:themeColor="text1"/>
          <w:sz w:val="32"/>
          <w:szCs w:val="32"/>
          <w14:textFill>
            <w14:solidFill>
              <w14:schemeClr w14:val="tx1"/>
            </w14:solidFill>
          </w14:textFill>
        </w:rPr>
      </w:pPr>
      <w:bookmarkStart w:id="1" w:name="_Toc5856"/>
    </w:p>
    <w:p w14:paraId="3A7F2C1A">
      <w:pPr>
        <w:pStyle w:val="3"/>
        <w:numPr>
          <w:ilvl w:val="1"/>
          <w:numId w:val="0"/>
        </w:numPr>
        <w:ind w:firstLine="643" w:firstLineChars="200"/>
        <w:rPr>
          <w:rFonts w:ascii="楷体" w:hAnsi="楷体" w:eastAsia="楷体" w:cs="楷体"/>
          <w:color w:val="000000" w:themeColor="text1"/>
          <w:sz w:val="32"/>
          <w14:textFill>
            <w14:solidFill>
              <w14:schemeClr w14:val="tx1"/>
            </w14:solidFill>
          </w14:textFill>
        </w:rPr>
      </w:pPr>
      <w:bookmarkStart w:id="2" w:name="_Toc174515749"/>
      <w:r>
        <w:rPr>
          <w:rFonts w:hint="eastAsia" w:ascii="楷体" w:hAnsi="楷体" w:eastAsia="楷体" w:cs="楷体"/>
          <w:color w:val="000000" w:themeColor="text1"/>
          <w:sz w:val="32"/>
          <w14:textFill>
            <w14:solidFill>
              <w14:schemeClr w14:val="tx1"/>
            </w14:solidFill>
          </w14:textFill>
        </w:rPr>
        <w:t>1.1方案背景</w:t>
      </w:r>
      <w:bookmarkEnd w:id="1"/>
      <w:bookmarkEnd w:id="2"/>
    </w:p>
    <w:p w14:paraId="4C5F0334">
      <w:pPr>
        <w:ind w:firstLine="640"/>
        <w:rPr>
          <w:rFonts w:ascii="仿宋" w:hAnsi="仿宋" w:eastAsia="仿宋" w:cs="仿宋"/>
          <w:color w:val="000000" w:themeColor="text1"/>
          <w:sz w:val="32"/>
          <w:szCs w:val="32"/>
          <w14:textFill>
            <w14:solidFill>
              <w14:schemeClr w14:val="tx1"/>
            </w14:solidFill>
          </w14:textFill>
        </w:rPr>
      </w:pPr>
      <w:r>
        <w:rPr>
          <w:rFonts w:hint="eastAsia" w:ascii="仿宋" w:hAnsi="仿宋" w:eastAsia="仿宋" w:cs="仿宋"/>
          <w:color w:val="000000" w:themeColor="text1"/>
          <w:sz w:val="32"/>
          <w:szCs w:val="32"/>
          <w14:textFill>
            <w14:solidFill>
              <w14:schemeClr w14:val="tx1"/>
            </w14:solidFill>
          </w14:textFill>
        </w:rPr>
        <w:t>为切实加强秸秆露天禁烧工作，减少大气污染，进一步改善生态环境和空气质量，科学有效地管控秸秆露天焚烧，努力完成年度环境空气质量目标和大气污染防治各项任务，打赢蓝天保卫战，保障人民群众身体健康。根据《中华人民共和国环境保护法》《中华人民共和国大气污染防治法》《国家发展和改革委员会、财政部、农业农村部、环境保护部关于进一步加快推进农作物秸秆综合利用和焚烧工作的通知》《湖南省大气污染防治条例》等有关法律法规要求，结合我市实际情况，组织开展了秸秆禁烧区和限烧区划定工作。</w:t>
      </w:r>
    </w:p>
    <w:p w14:paraId="5A23F221">
      <w:pPr>
        <w:pStyle w:val="3"/>
        <w:numPr>
          <w:ilvl w:val="1"/>
          <w:numId w:val="0"/>
        </w:numPr>
        <w:ind w:firstLine="643" w:firstLineChars="200"/>
        <w:rPr>
          <w:rFonts w:ascii="楷体" w:hAnsi="楷体" w:eastAsia="楷体" w:cs="楷体"/>
          <w:color w:val="000000" w:themeColor="text1"/>
          <w:sz w:val="32"/>
          <w14:textFill>
            <w14:solidFill>
              <w14:schemeClr w14:val="tx1"/>
            </w14:solidFill>
          </w14:textFill>
        </w:rPr>
      </w:pPr>
      <w:bookmarkStart w:id="3" w:name="_Toc19641"/>
      <w:bookmarkStart w:id="4" w:name="_Toc174515750"/>
      <w:r>
        <w:rPr>
          <w:rFonts w:hint="eastAsia" w:ascii="楷体" w:hAnsi="楷体" w:eastAsia="楷体" w:cs="楷体"/>
          <w:color w:val="000000" w:themeColor="text1"/>
          <w:sz w:val="32"/>
          <w14:textFill>
            <w14:solidFill>
              <w14:schemeClr w14:val="tx1"/>
            </w14:solidFill>
          </w14:textFill>
        </w:rPr>
        <w:t>1.2</w:t>
      </w:r>
      <w:bookmarkEnd w:id="3"/>
      <w:r>
        <w:rPr>
          <w:rFonts w:hint="eastAsia" w:ascii="楷体" w:hAnsi="楷体" w:eastAsia="楷体" w:cs="楷体"/>
          <w:color w:val="000000" w:themeColor="text1"/>
          <w:sz w:val="32"/>
          <w14:textFill>
            <w14:solidFill>
              <w14:schemeClr w14:val="tx1"/>
            </w14:solidFill>
          </w14:textFill>
        </w:rPr>
        <w:t>意义与目的</w:t>
      </w:r>
      <w:bookmarkEnd w:id="4"/>
    </w:p>
    <w:p w14:paraId="375850A9">
      <w:pPr>
        <w:ind w:firstLine="640"/>
        <w:rPr>
          <w:rFonts w:ascii="仿宋" w:hAnsi="仿宋" w:eastAsia="仿宋" w:cs="仿宋"/>
          <w:color w:val="000000" w:themeColor="text1"/>
          <w:sz w:val="32"/>
          <w:szCs w:val="32"/>
          <w14:textFill>
            <w14:solidFill>
              <w14:schemeClr w14:val="tx1"/>
            </w14:solidFill>
          </w14:textFill>
        </w:rPr>
      </w:pPr>
      <w:r>
        <w:rPr>
          <w:rFonts w:hint="eastAsia" w:ascii="仿宋" w:hAnsi="仿宋" w:eastAsia="仿宋" w:cs="仿宋"/>
          <w:color w:val="000000" w:themeColor="text1"/>
          <w:sz w:val="32"/>
          <w:szCs w:val="32"/>
          <w14:textFill>
            <w14:solidFill>
              <w14:schemeClr w14:val="tx1"/>
            </w14:solidFill>
          </w14:textFill>
        </w:rPr>
        <w:t>科学划定秸秆禁烧区和限烧区是大气污染防治的重要工作，是控制农业面源和秸秆就地焚烧污染、保障生态环境安全及改善生态环境治理的重大举措。本方案明确了禁止露天焚烧的秸秆等废弃物种类，规定了禁烧区的划定范围，对改善全市农作物秸秆焚烧致使的空气质量下降，遏制傍晚和夜间时段空气质量数据迅猛抬升，确保细颗粒物（PM2.5）年均浓度考核目标的完成，为进一步改善城乡空气环境质量，防止秸秆露天焚烧导致空气污染，保障人民群众身体健康，维护公共安全具有重要的意义和深远影响。</w:t>
      </w:r>
    </w:p>
    <w:p w14:paraId="7806F440">
      <w:pPr>
        <w:pStyle w:val="3"/>
        <w:numPr>
          <w:ilvl w:val="1"/>
          <w:numId w:val="0"/>
        </w:numPr>
        <w:ind w:firstLine="643" w:firstLineChars="200"/>
        <w:rPr>
          <w:rFonts w:ascii="楷体" w:hAnsi="楷体" w:eastAsia="楷体" w:cs="楷体"/>
          <w:color w:val="000000" w:themeColor="text1"/>
          <w:sz w:val="32"/>
          <w14:textFill>
            <w14:solidFill>
              <w14:schemeClr w14:val="tx1"/>
            </w14:solidFill>
          </w14:textFill>
        </w:rPr>
      </w:pPr>
      <w:bookmarkStart w:id="5" w:name="_Toc174515751"/>
      <w:bookmarkStart w:id="6" w:name="_Toc6352"/>
      <w:r>
        <w:rPr>
          <w:rFonts w:hint="eastAsia" w:ascii="楷体" w:hAnsi="楷体" w:eastAsia="楷体" w:cs="楷体"/>
          <w:color w:val="000000" w:themeColor="text1"/>
          <w:sz w:val="32"/>
          <w14:textFill>
            <w14:solidFill>
              <w14:schemeClr w14:val="tx1"/>
            </w14:solidFill>
          </w14:textFill>
        </w:rPr>
        <w:t>1.3指导思想</w:t>
      </w:r>
      <w:bookmarkEnd w:id="5"/>
      <w:bookmarkEnd w:id="6"/>
    </w:p>
    <w:p w14:paraId="0939FDDD">
      <w:pPr>
        <w:ind w:firstLine="640"/>
        <w:rPr>
          <w:rFonts w:ascii="仿宋" w:hAnsi="仿宋" w:eastAsia="仿宋" w:cs="仿宋"/>
          <w:color w:val="000000" w:themeColor="text1"/>
          <w:sz w:val="32"/>
          <w:szCs w:val="32"/>
          <w14:textFill>
            <w14:solidFill>
              <w14:schemeClr w14:val="tx1"/>
            </w14:solidFill>
          </w14:textFill>
        </w:rPr>
      </w:pPr>
      <w:r>
        <w:rPr>
          <w:rFonts w:hint="eastAsia" w:ascii="仿宋" w:hAnsi="仿宋" w:eastAsia="仿宋" w:cs="仿宋"/>
          <w:color w:val="000000" w:themeColor="text1"/>
          <w:sz w:val="32"/>
          <w:szCs w:val="32"/>
          <w14:textFill>
            <w14:solidFill>
              <w14:schemeClr w14:val="tx1"/>
            </w14:solidFill>
          </w14:textFill>
        </w:rPr>
        <w:t>坚持以习近平生态文明思想为指导，全面贯彻党的二十大精神，以全面落实城镇化、工业化、农业现代化带动发展战略为指导思想，按照建设生态文明、加强生态环境保护、提高可持续发展能力的要求和部署，科学划定秸秆禁烧区和限烧区。以保障生态环境安全、控制农业面源污染和秸秆焚烧为目的，以统筹兼顾、科学可行、依法合规、以人为本为基本原则，以区域总体规划、土地利用规划、国土空间规划、交通规划、重要基础设施为依据，将高铁、高速、国道、省道、特殊保护区域、人口集中区等区域作为重点，合理划定秸秆禁烧区范围，加强环境监管，落实秸秆禁烧区污染防治工作要求。</w:t>
      </w:r>
    </w:p>
    <w:p w14:paraId="303F69C0">
      <w:pPr>
        <w:pStyle w:val="3"/>
        <w:numPr>
          <w:ilvl w:val="1"/>
          <w:numId w:val="0"/>
        </w:numPr>
        <w:ind w:firstLine="643" w:firstLineChars="200"/>
        <w:rPr>
          <w:rFonts w:ascii="楷体" w:hAnsi="楷体" w:eastAsia="楷体" w:cs="楷体"/>
          <w:color w:val="000000" w:themeColor="text1"/>
          <w:sz w:val="32"/>
          <w14:textFill>
            <w14:solidFill>
              <w14:schemeClr w14:val="tx1"/>
            </w14:solidFill>
          </w14:textFill>
        </w:rPr>
      </w:pPr>
      <w:bookmarkStart w:id="7" w:name="_Toc174515752"/>
      <w:bookmarkStart w:id="8" w:name="_Toc3089"/>
      <w:bookmarkStart w:id="9" w:name="_Toc15432"/>
      <w:r>
        <w:rPr>
          <w:rFonts w:hint="eastAsia" w:ascii="楷体" w:hAnsi="楷体" w:eastAsia="楷体" w:cs="楷体"/>
          <w:color w:val="000000" w:themeColor="text1"/>
          <w:sz w:val="32"/>
          <w14:textFill>
            <w14:solidFill>
              <w14:schemeClr w14:val="tx1"/>
            </w14:solidFill>
          </w14:textFill>
        </w:rPr>
        <w:t>1.4划定原则</w:t>
      </w:r>
      <w:bookmarkEnd w:id="7"/>
      <w:bookmarkEnd w:id="8"/>
    </w:p>
    <w:p w14:paraId="2C8463EB">
      <w:pPr>
        <w:ind w:firstLine="643"/>
        <w:rPr>
          <w:rFonts w:ascii="仿宋" w:hAnsi="仿宋" w:eastAsia="仿宋" w:cs="仿宋"/>
          <w:b/>
          <w:bCs/>
          <w:color w:val="000000" w:themeColor="text1"/>
          <w:sz w:val="32"/>
          <w:szCs w:val="32"/>
          <w14:textFill>
            <w14:solidFill>
              <w14:schemeClr w14:val="tx1"/>
            </w14:solidFill>
          </w14:textFill>
        </w:rPr>
      </w:pPr>
      <w:r>
        <w:rPr>
          <w:rFonts w:hint="eastAsia" w:ascii="仿宋" w:hAnsi="仿宋" w:eastAsia="仿宋" w:cs="仿宋"/>
          <w:b/>
          <w:bCs/>
          <w:color w:val="000000" w:themeColor="text1"/>
          <w:sz w:val="32"/>
          <w:szCs w:val="32"/>
          <w14:textFill>
            <w14:solidFill>
              <w14:schemeClr w14:val="tx1"/>
            </w14:solidFill>
          </w14:textFill>
        </w:rPr>
        <w:t>（1）合理性原则</w:t>
      </w:r>
    </w:p>
    <w:p w14:paraId="53C4DA56">
      <w:pPr>
        <w:ind w:firstLine="640"/>
        <w:rPr>
          <w:rFonts w:ascii="仿宋" w:hAnsi="仿宋" w:eastAsia="仿宋" w:cs="仿宋"/>
          <w:color w:val="000000" w:themeColor="text1"/>
          <w:sz w:val="32"/>
          <w:szCs w:val="32"/>
          <w14:textFill>
            <w14:solidFill>
              <w14:schemeClr w14:val="tx1"/>
            </w14:solidFill>
          </w14:textFill>
        </w:rPr>
      </w:pPr>
      <w:r>
        <w:rPr>
          <w:rFonts w:hint="eastAsia" w:ascii="仿宋" w:hAnsi="仿宋" w:eastAsia="仿宋" w:cs="仿宋"/>
          <w:color w:val="000000" w:themeColor="text1"/>
          <w:sz w:val="32"/>
          <w:szCs w:val="32"/>
          <w14:textFill>
            <w14:solidFill>
              <w14:schemeClr w14:val="tx1"/>
            </w14:solidFill>
          </w14:textFill>
        </w:rPr>
        <w:t>秸秆禁烧区和限烧区的划定应根据地形条件、气象条件、环流通道、居民集中居住区及上风向、交通主干线（高速、铁路、国省道）、易燃易爆物品生产、储存、经营单位，输变电设施、医疗机构、学校等重点区域及环境空气质量状况，结合地方实际与管理需求，合理划定，尽量连续成片，避免破碎化。</w:t>
      </w:r>
    </w:p>
    <w:p w14:paraId="65D6EC95">
      <w:pPr>
        <w:ind w:firstLine="643"/>
        <w:rPr>
          <w:rFonts w:ascii="仿宋" w:hAnsi="仿宋" w:eastAsia="仿宋" w:cs="仿宋"/>
          <w:b/>
          <w:bCs/>
          <w:color w:val="000000" w:themeColor="text1"/>
          <w:sz w:val="32"/>
          <w:szCs w:val="32"/>
          <w14:textFill>
            <w14:solidFill>
              <w14:schemeClr w14:val="tx1"/>
            </w14:solidFill>
          </w14:textFill>
        </w:rPr>
      </w:pPr>
      <w:r>
        <w:rPr>
          <w:rFonts w:hint="eastAsia" w:ascii="仿宋" w:hAnsi="仿宋" w:eastAsia="仿宋" w:cs="仿宋"/>
          <w:b/>
          <w:bCs/>
          <w:color w:val="000000" w:themeColor="text1"/>
          <w:sz w:val="32"/>
          <w:szCs w:val="32"/>
          <w14:textFill>
            <w14:solidFill>
              <w14:schemeClr w14:val="tx1"/>
            </w14:solidFill>
          </w14:textFill>
        </w:rPr>
        <w:t>（2）合法性原则</w:t>
      </w:r>
    </w:p>
    <w:p w14:paraId="75889AC5">
      <w:pPr>
        <w:adjustRightInd w:val="0"/>
        <w:snapToGrid w:val="0"/>
        <w:ind w:firstLine="640"/>
        <w:rPr>
          <w:rFonts w:ascii="仿宋" w:hAnsi="仿宋" w:eastAsia="仿宋" w:cs="仿宋"/>
          <w:color w:val="000000" w:themeColor="text1"/>
          <w:sz w:val="32"/>
          <w:szCs w:val="32"/>
          <w14:textFill>
            <w14:solidFill>
              <w14:schemeClr w14:val="tx1"/>
            </w14:solidFill>
          </w14:textFill>
        </w:rPr>
      </w:pPr>
      <w:r>
        <w:rPr>
          <w:rFonts w:hint="eastAsia" w:ascii="仿宋" w:hAnsi="仿宋" w:eastAsia="仿宋" w:cs="仿宋"/>
          <w:color w:val="000000" w:themeColor="text1"/>
          <w:sz w:val="32"/>
          <w:szCs w:val="32"/>
          <w14:textFill>
            <w14:solidFill>
              <w14:schemeClr w14:val="tx1"/>
            </w14:solidFill>
          </w14:textFill>
        </w:rPr>
        <w:t>秸秆禁烧区划定与其他法律法规中关于区域划分冲突的，以其他法律法规为准。</w:t>
      </w:r>
    </w:p>
    <w:p w14:paraId="4892FEB2">
      <w:pPr>
        <w:ind w:firstLine="643"/>
        <w:rPr>
          <w:rFonts w:ascii="仿宋" w:hAnsi="仿宋" w:eastAsia="仿宋" w:cs="仿宋"/>
          <w:b/>
          <w:bCs/>
          <w:color w:val="000000" w:themeColor="text1"/>
          <w:sz w:val="32"/>
          <w:szCs w:val="32"/>
          <w14:textFill>
            <w14:solidFill>
              <w14:schemeClr w14:val="tx1"/>
            </w14:solidFill>
          </w14:textFill>
        </w:rPr>
      </w:pPr>
      <w:r>
        <w:rPr>
          <w:rFonts w:hint="eastAsia" w:ascii="仿宋" w:hAnsi="仿宋" w:eastAsia="仿宋" w:cs="仿宋"/>
          <w:b/>
          <w:bCs/>
          <w:color w:val="000000" w:themeColor="text1"/>
          <w:sz w:val="32"/>
          <w:szCs w:val="32"/>
          <w14:textFill>
            <w14:solidFill>
              <w14:schemeClr w14:val="tx1"/>
            </w14:solidFill>
          </w14:textFill>
        </w:rPr>
        <w:t>（3）疏堵结合原则</w:t>
      </w:r>
    </w:p>
    <w:p w14:paraId="38CF7CB7">
      <w:pPr>
        <w:ind w:firstLine="640"/>
        <w:rPr>
          <w:rFonts w:ascii="仿宋" w:hAnsi="仿宋" w:eastAsia="仿宋" w:cs="仿宋"/>
          <w:color w:val="000000" w:themeColor="text1"/>
          <w:sz w:val="32"/>
          <w:szCs w:val="32"/>
          <w14:textFill>
            <w14:solidFill>
              <w14:schemeClr w14:val="tx1"/>
            </w14:solidFill>
          </w14:textFill>
        </w:rPr>
      </w:pPr>
      <w:r>
        <w:rPr>
          <w:rFonts w:hint="eastAsia" w:ascii="仿宋" w:hAnsi="仿宋" w:eastAsia="仿宋" w:cs="仿宋"/>
          <w:color w:val="000000" w:themeColor="text1"/>
          <w:sz w:val="32"/>
          <w:szCs w:val="32"/>
          <w14:textFill>
            <w14:solidFill>
              <w14:schemeClr w14:val="tx1"/>
            </w14:solidFill>
          </w14:textFill>
        </w:rPr>
        <w:t>在禁烧区内全时段禁止露天焚烧秸秆，在限烧区内按环境气象条件要求分时段分区域有序焚烧，避免集中焚烧对空气质量造成污染。</w:t>
      </w:r>
    </w:p>
    <w:p w14:paraId="73F02ADF">
      <w:pPr>
        <w:ind w:firstLine="643"/>
        <w:rPr>
          <w:rFonts w:ascii="仿宋" w:hAnsi="仿宋" w:eastAsia="仿宋" w:cs="仿宋"/>
          <w:b/>
          <w:bCs/>
          <w:color w:val="000000" w:themeColor="text1"/>
          <w:sz w:val="32"/>
          <w:szCs w:val="32"/>
          <w14:textFill>
            <w14:solidFill>
              <w14:schemeClr w14:val="tx1"/>
            </w14:solidFill>
          </w14:textFill>
        </w:rPr>
      </w:pPr>
      <w:r>
        <w:rPr>
          <w:rFonts w:hint="eastAsia" w:ascii="仿宋" w:hAnsi="仿宋" w:eastAsia="仿宋" w:cs="仿宋"/>
          <w:b/>
          <w:bCs/>
          <w:color w:val="000000" w:themeColor="text1"/>
          <w:sz w:val="32"/>
          <w:szCs w:val="32"/>
          <w14:textFill>
            <w14:solidFill>
              <w14:schemeClr w14:val="tx1"/>
            </w14:solidFill>
          </w14:textFill>
        </w:rPr>
        <w:t>（4）动态性原则</w:t>
      </w:r>
    </w:p>
    <w:p w14:paraId="354AF3FD">
      <w:pPr>
        <w:ind w:firstLine="640"/>
        <w:rPr>
          <w:rFonts w:ascii="仿宋" w:hAnsi="仿宋" w:eastAsia="仿宋" w:cs="仿宋"/>
          <w:color w:val="000000" w:themeColor="text1"/>
          <w:sz w:val="32"/>
          <w:szCs w:val="32"/>
          <w14:textFill>
            <w14:solidFill>
              <w14:schemeClr w14:val="tx1"/>
            </w14:solidFill>
          </w14:textFill>
        </w:rPr>
      </w:pPr>
      <w:r>
        <w:rPr>
          <w:rFonts w:hint="eastAsia" w:ascii="仿宋" w:hAnsi="仿宋" w:eastAsia="仿宋" w:cs="仿宋"/>
          <w:color w:val="000000" w:themeColor="text1"/>
          <w:sz w:val="32"/>
          <w:szCs w:val="32"/>
          <w14:textFill>
            <w14:solidFill>
              <w14:schemeClr w14:val="tx1"/>
            </w14:solidFill>
          </w14:textFill>
        </w:rPr>
        <w:t>秸秆禁烧区和限烧区应根据环境空气质量及土地利用变化情况进行动态调整。</w:t>
      </w:r>
    </w:p>
    <w:p w14:paraId="2FB0CF8D">
      <w:pPr>
        <w:pStyle w:val="3"/>
        <w:numPr>
          <w:ilvl w:val="1"/>
          <w:numId w:val="0"/>
        </w:numPr>
        <w:ind w:firstLine="643" w:firstLineChars="200"/>
        <w:rPr>
          <w:rFonts w:ascii="楷体" w:hAnsi="楷体" w:eastAsia="楷体" w:cs="楷体"/>
          <w:color w:val="000000" w:themeColor="text1"/>
          <w:sz w:val="32"/>
          <w14:textFill>
            <w14:solidFill>
              <w14:schemeClr w14:val="tx1"/>
            </w14:solidFill>
          </w14:textFill>
        </w:rPr>
      </w:pPr>
      <w:bookmarkStart w:id="10" w:name="_Toc174515753"/>
      <w:bookmarkStart w:id="11" w:name="_Toc16472"/>
      <w:r>
        <w:rPr>
          <w:rFonts w:hint="eastAsia" w:ascii="楷体" w:hAnsi="楷体" w:eastAsia="楷体" w:cs="楷体"/>
          <w:color w:val="000000" w:themeColor="text1"/>
          <w:sz w:val="32"/>
          <w14:textFill>
            <w14:solidFill>
              <w14:schemeClr w14:val="tx1"/>
            </w14:solidFill>
          </w14:textFill>
        </w:rPr>
        <w:t>1.5划定范围</w:t>
      </w:r>
      <w:bookmarkEnd w:id="10"/>
      <w:bookmarkEnd w:id="11"/>
    </w:p>
    <w:p w14:paraId="08C5F875">
      <w:pPr>
        <w:ind w:firstLine="640"/>
        <w:rPr>
          <w:rFonts w:ascii="仿宋" w:hAnsi="仿宋" w:eastAsia="仿宋" w:cs="仿宋"/>
          <w:color w:val="000000" w:themeColor="text1"/>
          <w:sz w:val="32"/>
          <w:szCs w:val="32"/>
          <w14:textFill>
            <w14:solidFill>
              <w14:schemeClr w14:val="tx1"/>
            </w14:solidFill>
          </w14:textFill>
        </w:rPr>
        <w:sectPr>
          <w:footerReference r:id="rId11" w:type="default"/>
          <w:pgSz w:w="11906" w:h="16838"/>
          <w:pgMar w:top="1440" w:right="1797" w:bottom="1440" w:left="1797" w:header="851" w:footer="992" w:gutter="0"/>
          <w:pgNumType w:start="1"/>
          <w:cols w:space="720" w:num="1"/>
          <w:docGrid w:type="lines" w:linePitch="312" w:charSpace="0"/>
        </w:sectPr>
      </w:pPr>
      <w:r>
        <w:rPr>
          <w:rFonts w:hint="eastAsia" w:ascii="仿宋" w:hAnsi="仿宋" w:eastAsia="仿宋" w:cs="仿宋"/>
          <w:color w:val="000000" w:themeColor="text1"/>
          <w:sz w:val="32"/>
          <w:szCs w:val="32"/>
          <w14:textFill>
            <w14:solidFill>
              <w14:schemeClr w14:val="tx1"/>
            </w14:solidFill>
          </w14:textFill>
        </w:rPr>
        <w:t>本次划定范围为城步苗族自治县全域。</w:t>
      </w:r>
    </w:p>
    <w:p w14:paraId="1941B8AB">
      <w:pPr>
        <w:pStyle w:val="2"/>
        <w:numPr>
          <w:ilvl w:val="0"/>
          <w:numId w:val="0"/>
        </w:numPr>
        <w:spacing w:before="240" w:after="240" w:line="360" w:lineRule="auto"/>
        <w:rPr>
          <w:rFonts w:eastAsiaTheme="minorEastAsia"/>
          <w:color w:val="000000" w:themeColor="text1"/>
          <w:sz w:val="44"/>
          <w14:textFill>
            <w14:solidFill>
              <w14:schemeClr w14:val="tx1"/>
            </w14:solidFill>
          </w14:textFill>
        </w:rPr>
      </w:pPr>
      <w:bookmarkStart w:id="12" w:name="_Toc174515754"/>
      <w:r>
        <w:rPr>
          <w:rFonts w:eastAsiaTheme="minorEastAsia"/>
          <w:color w:val="000000" w:themeColor="text1"/>
          <w:sz w:val="44"/>
          <w14:textFill>
            <w14:solidFill>
              <w14:schemeClr w14:val="tx1"/>
            </w14:solidFill>
          </w14:textFill>
        </w:rPr>
        <w:t>第2章划定依据</w:t>
      </w:r>
      <w:bookmarkEnd w:id="12"/>
    </w:p>
    <w:p w14:paraId="729CAC0E">
      <w:pPr>
        <w:pStyle w:val="3"/>
        <w:numPr>
          <w:ilvl w:val="1"/>
          <w:numId w:val="0"/>
        </w:numPr>
        <w:ind w:firstLine="643" w:firstLineChars="200"/>
        <w:rPr>
          <w:rFonts w:ascii="楷体" w:hAnsi="楷体" w:eastAsia="楷体" w:cs="楷体"/>
          <w:color w:val="000000" w:themeColor="text1"/>
          <w:sz w:val="32"/>
          <w14:textFill>
            <w14:solidFill>
              <w14:schemeClr w14:val="tx1"/>
            </w14:solidFill>
          </w14:textFill>
        </w:rPr>
      </w:pPr>
      <w:bookmarkStart w:id="13" w:name="_Toc174515755"/>
      <w:r>
        <w:rPr>
          <w:rFonts w:hint="eastAsia" w:ascii="楷体" w:hAnsi="楷体" w:eastAsia="楷体" w:cs="楷体"/>
          <w:color w:val="000000" w:themeColor="text1"/>
          <w:sz w:val="32"/>
          <w14:textFill>
            <w14:solidFill>
              <w14:schemeClr w14:val="tx1"/>
            </w14:solidFill>
          </w14:textFill>
        </w:rPr>
        <w:t>2.1划定依据</w:t>
      </w:r>
      <w:bookmarkEnd w:id="9"/>
      <w:bookmarkEnd w:id="13"/>
    </w:p>
    <w:p w14:paraId="78F29962">
      <w:pPr>
        <w:ind w:firstLine="640"/>
        <w:rPr>
          <w:rFonts w:ascii="仿宋" w:hAnsi="仿宋" w:eastAsia="仿宋" w:cs="仿宋"/>
          <w:color w:val="000000" w:themeColor="text1"/>
          <w:sz w:val="32"/>
          <w:szCs w:val="32"/>
          <w14:textFill>
            <w14:solidFill>
              <w14:schemeClr w14:val="tx1"/>
            </w14:solidFill>
          </w14:textFill>
        </w:rPr>
      </w:pPr>
      <w:r>
        <w:rPr>
          <w:rFonts w:hint="eastAsia" w:ascii="仿宋" w:hAnsi="仿宋" w:eastAsia="仿宋" w:cs="仿宋"/>
          <w:color w:val="000000" w:themeColor="text1"/>
          <w:sz w:val="32"/>
          <w:szCs w:val="32"/>
          <w14:textFill>
            <w14:solidFill>
              <w14:schemeClr w14:val="tx1"/>
            </w14:solidFill>
          </w14:textFill>
        </w:rPr>
        <w:t>（1）《中华人民共和国环境保护法》，2015年1月1日；</w:t>
      </w:r>
    </w:p>
    <w:p w14:paraId="15318C5B">
      <w:pPr>
        <w:ind w:firstLine="640"/>
        <w:rPr>
          <w:rFonts w:ascii="仿宋" w:hAnsi="仿宋" w:eastAsia="仿宋" w:cs="仿宋"/>
          <w:color w:val="000000" w:themeColor="text1"/>
          <w:sz w:val="32"/>
          <w:szCs w:val="32"/>
          <w14:textFill>
            <w14:solidFill>
              <w14:schemeClr w14:val="tx1"/>
            </w14:solidFill>
          </w14:textFill>
        </w:rPr>
      </w:pPr>
      <w:r>
        <w:rPr>
          <w:rFonts w:hint="eastAsia" w:ascii="仿宋" w:hAnsi="仿宋" w:eastAsia="仿宋" w:cs="仿宋"/>
          <w:color w:val="000000" w:themeColor="text1"/>
          <w:sz w:val="32"/>
          <w:szCs w:val="32"/>
          <w14:textFill>
            <w14:solidFill>
              <w14:schemeClr w14:val="tx1"/>
            </w14:solidFill>
          </w14:textFill>
        </w:rPr>
        <w:t>（2）《中华人民共和国大气污染防治法》（2018年修订）；</w:t>
      </w:r>
    </w:p>
    <w:p w14:paraId="21913616">
      <w:pPr>
        <w:ind w:firstLine="640"/>
        <w:rPr>
          <w:rFonts w:ascii="仿宋" w:hAnsi="仿宋" w:eastAsia="仿宋" w:cs="仿宋"/>
          <w:color w:val="000000" w:themeColor="text1"/>
          <w:sz w:val="32"/>
          <w:szCs w:val="32"/>
          <w14:textFill>
            <w14:solidFill>
              <w14:schemeClr w14:val="tx1"/>
            </w14:solidFill>
          </w14:textFill>
        </w:rPr>
      </w:pPr>
      <w:r>
        <w:rPr>
          <w:rFonts w:hint="eastAsia" w:ascii="仿宋" w:hAnsi="仿宋" w:eastAsia="仿宋" w:cs="仿宋"/>
          <w:color w:val="000000" w:themeColor="text1"/>
          <w:sz w:val="32"/>
          <w:szCs w:val="32"/>
          <w14:textFill>
            <w14:solidFill>
              <w14:schemeClr w14:val="tx1"/>
            </w14:solidFill>
          </w14:textFill>
        </w:rPr>
        <w:t>（3）《中华人民共和国森林法》（2019年修订）；</w:t>
      </w:r>
    </w:p>
    <w:p w14:paraId="4ED14536">
      <w:pPr>
        <w:ind w:firstLine="640"/>
        <w:rPr>
          <w:rFonts w:ascii="仿宋" w:hAnsi="仿宋" w:eastAsia="仿宋" w:cs="仿宋"/>
          <w:color w:val="000000" w:themeColor="text1"/>
          <w:sz w:val="32"/>
          <w:szCs w:val="32"/>
          <w14:textFill>
            <w14:solidFill>
              <w14:schemeClr w14:val="tx1"/>
            </w14:solidFill>
          </w14:textFill>
        </w:rPr>
      </w:pPr>
      <w:r>
        <w:rPr>
          <w:rFonts w:hint="eastAsia" w:ascii="仿宋" w:hAnsi="仿宋" w:eastAsia="仿宋" w:cs="仿宋"/>
          <w:color w:val="000000" w:themeColor="text1"/>
          <w:sz w:val="32"/>
          <w:szCs w:val="32"/>
          <w14:textFill>
            <w14:solidFill>
              <w14:schemeClr w14:val="tx1"/>
            </w14:solidFill>
          </w14:textFill>
        </w:rPr>
        <w:t>（4）《森林防火条例》（2008年修订）；</w:t>
      </w:r>
    </w:p>
    <w:p w14:paraId="1CC24864">
      <w:pPr>
        <w:ind w:firstLine="640"/>
        <w:rPr>
          <w:rFonts w:ascii="仿宋" w:hAnsi="仿宋" w:eastAsia="仿宋" w:cs="仿宋"/>
          <w:color w:val="000000" w:themeColor="text1"/>
          <w:sz w:val="32"/>
          <w:szCs w:val="32"/>
          <w14:textFill>
            <w14:solidFill>
              <w14:schemeClr w14:val="tx1"/>
            </w14:solidFill>
          </w14:textFill>
        </w:rPr>
      </w:pPr>
      <w:r>
        <w:rPr>
          <w:rFonts w:hint="eastAsia" w:ascii="仿宋" w:hAnsi="仿宋" w:eastAsia="仿宋" w:cs="仿宋"/>
          <w:color w:val="000000" w:themeColor="text1"/>
          <w:sz w:val="32"/>
          <w:szCs w:val="32"/>
          <w14:textFill>
            <w14:solidFill>
              <w14:schemeClr w14:val="tx1"/>
            </w14:solidFill>
          </w14:textFill>
        </w:rPr>
        <w:t>（5）《国家发展和改革委员会、财政部、农业农村部、环境保护部关于进一步加快推进农作物秸秆综合利用和焚烧工作的通知》（发改环资〔2015〕2651号）；</w:t>
      </w:r>
    </w:p>
    <w:p w14:paraId="766B6A47">
      <w:pPr>
        <w:ind w:firstLine="640"/>
        <w:rPr>
          <w:rFonts w:ascii="仿宋" w:hAnsi="仿宋" w:eastAsia="仿宋" w:cs="仿宋"/>
          <w:color w:val="000000" w:themeColor="text1"/>
          <w:sz w:val="32"/>
          <w:szCs w:val="32"/>
          <w14:textFill>
            <w14:solidFill>
              <w14:schemeClr w14:val="tx1"/>
            </w14:solidFill>
          </w14:textFill>
        </w:rPr>
      </w:pPr>
      <w:r>
        <w:rPr>
          <w:rFonts w:hint="eastAsia" w:ascii="仿宋" w:hAnsi="仿宋" w:eastAsia="仿宋" w:cs="仿宋"/>
          <w:color w:val="000000" w:themeColor="text1"/>
          <w:sz w:val="32"/>
          <w:szCs w:val="32"/>
          <w14:textFill>
            <w14:solidFill>
              <w14:schemeClr w14:val="tx1"/>
            </w14:solidFill>
          </w14:textFill>
        </w:rPr>
        <w:t>（6）《国务院关于印发打赢蓝天保卫战三年行动计划的通知》（国发〔2018〕22号）；</w:t>
      </w:r>
    </w:p>
    <w:p w14:paraId="715DDA09">
      <w:pPr>
        <w:ind w:firstLine="640"/>
        <w:rPr>
          <w:rFonts w:ascii="仿宋" w:hAnsi="仿宋" w:eastAsia="仿宋" w:cs="仿宋"/>
          <w:color w:val="000000" w:themeColor="text1"/>
          <w:sz w:val="32"/>
          <w:szCs w:val="32"/>
          <w14:textFill>
            <w14:solidFill>
              <w14:schemeClr w14:val="tx1"/>
            </w14:solidFill>
          </w14:textFill>
        </w:rPr>
      </w:pPr>
      <w:r>
        <w:rPr>
          <w:rFonts w:hint="eastAsia" w:ascii="仿宋" w:hAnsi="仿宋" w:eastAsia="仿宋" w:cs="仿宋"/>
          <w:color w:val="000000" w:themeColor="text1"/>
          <w:sz w:val="32"/>
          <w:szCs w:val="32"/>
          <w14:textFill>
            <w14:solidFill>
              <w14:schemeClr w14:val="tx1"/>
            </w14:solidFill>
          </w14:textFill>
        </w:rPr>
        <w:t>（7）《湖南省大气污染防治条例》（2017年修订）；</w:t>
      </w:r>
    </w:p>
    <w:p w14:paraId="55E2E064">
      <w:pPr>
        <w:ind w:firstLine="640"/>
        <w:rPr>
          <w:rFonts w:ascii="仿宋" w:hAnsi="仿宋" w:eastAsia="仿宋" w:cs="仿宋"/>
          <w:color w:val="000000" w:themeColor="text1"/>
          <w:sz w:val="32"/>
          <w:szCs w:val="32"/>
          <w14:textFill>
            <w14:solidFill>
              <w14:schemeClr w14:val="tx1"/>
            </w14:solidFill>
          </w14:textFill>
        </w:rPr>
      </w:pPr>
      <w:r>
        <w:rPr>
          <w:rFonts w:hint="eastAsia" w:ascii="仿宋" w:hAnsi="仿宋" w:eastAsia="仿宋" w:cs="仿宋"/>
          <w:color w:val="000000" w:themeColor="text1"/>
          <w:sz w:val="32"/>
          <w:szCs w:val="32"/>
          <w14:textFill>
            <w14:solidFill>
              <w14:schemeClr w14:val="tx1"/>
            </w14:solidFill>
          </w14:textFill>
        </w:rPr>
        <w:t>（8）《邵阳市秸杆露天禁烧区划定工作方案》</w:t>
      </w:r>
      <w:bookmarkStart w:id="14" w:name="_Toc465"/>
      <w:r>
        <w:rPr>
          <w:rFonts w:hint="eastAsia" w:ascii="仿宋" w:hAnsi="仿宋" w:eastAsia="仿宋" w:cs="仿宋"/>
          <w:color w:val="000000" w:themeColor="text1"/>
          <w:sz w:val="32"/>
          <w:szCs w:val="32"/>
          <w14:textFill>
            <w14:solidFill>
              <w14:schemeClr w14:val="tx1"/>
            </w14:solidFill>
          </w14:textFill>
        </w:rPr>
        <w:t>（邵阳市农业农村局2024年）</w:t>
      </w:r>
    </w:p>
    <w:p w14:paraId="1D17C0AE">
      <w:pPr>
        <w:pStyle w:val="3"/>
        <w:numPr>
          <w:ilvl w:val="1"/>
          <w:numId w:val="0"/>
        </w:numPr>
        <w:ind w:firstLine="643" w:firstLineChars="200"/>
        <w:rPr>
          <w:rFonts w:ascii="楷体" w:hAnsi="楷体" w:eastAsia="楷体" w:cs="楷体"/>
          <w:color w:val="000000" w:themeColor="text1"/>
          <w:sz w:val="32"/>
          <w14:textFill>
            <w14:solidFill>
              <w14:schemeClr w14:val="tx1"/>
            </w14:solidFill>
          </w14:textFill>
        </w:rPr>
      </w:pPr>
      <w:bookmarkStart w:id="15" w:name="_Toc174515756"/>
      <w:r>
        <w:rPr>
          <w:rFonts w:hint="eastAsia" w:ascii="楷体" w:hAnsi="楷体" w:eastAsia="楷体" w:cs="楷体"/>
          <w:color w:val="000000" w:themeColor="text1"/>
          <w:sz w:val="32"/>
          <w14:textFill>
            <w14:solidFill>
              <w14:schemeClr w14:val="tx1"/>
            </w14:solidFill>
          </w14:textFill>
        </w:rPr>
        <w:t>2.2</w:t>
      </w:r>
      <w:bookmarkStart w:id="16" w:name="_Toc4452"/>
      <w:bookmarkStart w:id="17" w:name="_Toc1496"/>
      <w:r>
        <w:rPr>
          <w:rFonts w:hint="eastAsia" w:ascii="楷体" w:hAnsi="楷体" w:eastAsia="楷体" w:cs="楷体"/>
          <w:color w:val="000000" w:themeColor="text1"/>
          <w:sz w:val="32"/>
          <w14:textFill>
            <w14:solidFill>
              <w14:schemeClr w14:val="tx1"/>
            </w14:solidFill>
          </w14:textFill>
        </w:rPr>
        <w:t>术语与定义</w:t>
      </w:r>
      <w:bookmarkEnd w:id="15"/>
      <w:bookmarkEnd w:id="16"/>
      <w:bookmarkEnd w:id="17"/>
    </w:p>
    <w:p w14:paraId="162F83EC">
      <w:pPr>
        <w:ind w:firstLine="640"/>
        <w:rPr>
          <w:rFonts w:ascii="仿宋" w:hAnsi="仿宋" w:eastAsia="仿宋" w:cs="仿宋"/>
          <w:color w:val="000000" w:themeColor="text1"/>
          <w:sz w:val="32"/>
          <w:szCs w:val="32"/>
          <w14:textFill>
            <w14:solidFill>
              <w14:schemeClr w14:val="tx1"/>
            </w14:solidFill>
          </w14:textFill>
        </w:rPr>
      </w:pPr>
      <w:r>
        <w:rPr>
          <w:rFonts w:hint="eastAsia" w:ascii="仿宋" w:hAnsi="仿宋" w:eastAsia="仿宋" w:cs="仿宋"/>
          <w:color w:val="000000" w:themeColor="text1"/>
          <w:sz w:val="32"/>
          <w:szCs w:val="32"/>
          <w14:textFill>
            <w14:solidFill>
              <w14:schemeClr w14:val="tx1"/>
            </w14:solidFill>
          </w14:textFill>
        </w:rPr>
        <w:t>禁烧限烧种类：水稻秸秆、玉米秸秆、油菜秸秆、高粱秸秆、大豆秸秆、薯类秸秆及其他农作物收获籽实后的剩余物。</w:t>
      </w:r>
    </w:p>
    <w:p w14:paraId="180705D2">
      <w:pPr>
        <w:ind w:firstLine="640"/>
        <w:rPr>
          <w:rFonts w:ascii="仿宋" w:hAnsi="仿宋" w:eastAsia="仿宋" w:cs="仿宋"/>
          <w:color w:val="000000" w:themeColor="text1"/>
          <w:sz w:val="32"/>
          <w:szCs w:val="32"/>
          <w14:textFill>
            <w14:solidFill>
              <w14:schemeClr w14:val="tx1"/>
            </w14:solidFill>
          </w14:textFill>
        </w:rPr>
      </w:pPr>
      <w:r>
        <w:rPr>
          <w:rFonts w:hint="eastAsia" w:ascii="仿宋" w:hAnsi="仿宋" w:eastAsia="仿宋" w:cs="仿宋"/>
          <w:color w:val="000000" w:themeColor="text1"/>
          <w:sz w:val="32"/>
          <w:szCs w:val="32"/>
          <w14:textFill>
            <w14:solidFill>
              <w14:schemeClr w14:val="tx1"/>
            </w14:solidFill>
          </w14:textFill>
        </w:rPr>
        <w:t>禁烧区：禁止农作物秸秆等露天焚烧的区域。</w:t>
      </w:r>
    </w:p>
    <w:p w14:paraId="1CA8C52B">
      <w:pPr>
        <w:ind w:firstLine="640"/>
        <w:rPr>
          <w:rFonts w:ascii="仿宋" w:hAnsi="仿宋" w:eastAsia="仿宋" w:cs="仿宋"/>
          <w:color w:val="000000" w:themeColor="text1"/>
          <w:sz w:val="32"/>
          <w:szCs w:val="32"/>
          <w14:textFill>
            <w14:solidFill>
              <w14:schemeClr w14:val="tx1"/>
            </w14:solidFill>
          </w14:textFill>
        </w:rPr>
      </w:pPr>
      <w:r>
        <w:rPr>
          <w:rFonts w:hint="eastAsia" w:ascii="仿宋" w:hAnsi="仿宋" w:eastAsia="仿宋" w:cs="仿宋"/>
          <w:color w:val="000000" w:themeColor="text1"/>
          <w:sz w:val="32"/>
          <w:szCs w:val="32"/>
          <w14:textFill>
            <w14:solidFill>
              <w14:schemeClr w14:val="tx1"/>
            </w14:solidFill>
          </w14:textFill>
        </w:rPr>
        <w:t>限烧区：在特定时间、气象、空气环境质量条件下，可进行有计划、有序的秸秆露天焚烧活动的区域。</w:t>
      </w:r>
    </w:p>
    <w:bookmarkEnd w:id="14"/>
    <w:p w14:paraId="0B760432">
      <w:pPr>
        <w:ind w:firstLine="640"/>
        <w:rPr>
          <w:rFonts w:ascii="仿宋" w:hAnsi="仿宋" w:eastAsia="仿宋" w:cs="仿宋"/>
          <w:color w:val="000000" w:themeColor="text1"/>
          <w:sz w:val="32"/>
          <w:szCs w:val="32"/>
          <w14:textFill>
            <w14:solidFill>
              <w14:schemeClr w14:val="tx1"/>
            </w14:solidFill>
          </w14:textFill>
        </w:rPr>
      </w:pPr>
    </w:p>
    <w:p w14:paraId="7A6216F0">
      <w:pPr>
        <w:ind w:firstLine="640"/>
        <w:rPr>
          <w:rFonts w:ascii="仿宋" w:hAnsi="仿宋" w:eastAsia="仿宋" w:cs="仿宋"/>
          <w:color w:val="000000" w:themeColor="text1"/>
          <w:sz w:val="32"/>
          <w:szCs w:val="32"/>
          <w14:textFill>
            <w14:solidFill>
              <w14:schemeClr w14:val="tx1"/>
            </w14:solidFill>
          </w14:textFill>
        </w:rPr>
        <w:sectPr>
          <w:pgSz w:w="11906" w:h="16838"/>
          <w:pgMar w:top="1440" w:right="1797" w:bottom="1440" w:left="1797" w:header="851" w:footer="992" w:gutter="0"/>
          <w:cols w:space="720" w:num="1"/>
          <w:docGrid w:type="lines" w:linePitch="312" w:charSpace="0"/>
        </w:sectPr>
      </w:pPr>
    </w:p>
    <w:p w14:paraId="72899DFB">
      <w:pPr>
        <w:pStyle w:val="2"/>
        <w:numPr>
          <w:ilvl w:val="0"/>
          <w:numId w:val="0"/>
        </w:numPr>
        <w:spacing w:before="240" w:after="240" w:line="360" w:lineRule="auto"/>
        <w:rPr>
          <w:rFonts w:ascii="仿宋" w:hAnsi="仿宋" w:eastAsia="仿宋" w:cs="仿宋"/>
          <w:color w:val="000000" w:themeColor="text1"/>
          <w:sz w:val="44"/>
          <w14:textFill>
            <w14:solidFill>
              <w14:schemeClr w14:val="tx1"/>
            </w14:solidFill>
          </w14:textFill>
        </w:rPr>
      </w:pPr>
      <w:bookmarkStart w:id="18" w:name="_Toc174515757"/>
      <w:r>
        <w:rPr>
          <w:rFonts w:hint="eastAsia" w:ascii="仿宋" w:hAnsi="仿宋" w:eastAsia="仿宋" w:cs="仿宋"/>
          <w:color w:val="000000" w:themeColor="text1"/>
          <w:sz w:val="44"/>
          <w14:textFill>
            <w14:solidFill>
              <w14:schemeClr w14:val="tx1"/>
            </w14:solidFill>
          </w14:textFill>
        </w:rPr>
        <w:t>第3章区域概况</w:t>
      </w:r>
      <w:bookmarkEnd w:id="18"/>
    </w:p>
    <w:p w14:paraId="42402A8E">
      <w:pPr>
        <w:pStyle w:val="3"/>
        <w:numPr>
          <w:ilvl w:val="1"/>
          <w:numId w:val="0"/>
        </w:numPr>
        <w:ind w:firstLine="643" w:firstLineChars="200"/>
        <w:rPr>
          <w:rFonts w:ascii="楷体" w:hAnsi="楷体" w:eastAsia="楷体" w:cs="楷体"/>
          <w:color w:val="000000" w:themeColor="text1"/>
          <w:sz w:val="32"/>
          <w14:textFill>
            <w14:solidFill>
              <w14:schemeClr w14:val="tx1"/>
            </w14:solidFill>
          </w14:textFill>
        </w:rPr>
      </w:pPr>
      <w:bookmarkStart w:id="19" w:name="_Toc174515758"/>
      <w:r>
        <w:rPr>
          <w:rFonts w:hint="eastAsia" w:ascii="楷体" w:hAnsi="楷体" w:eastAsia="楷体" w:cs="楷体"/>
          <w:color w:val="000000" w:themeColor="text1"/>
          <w:sz w:val="32"/>
          <w14:textFill>
            <w14:solidFill>
              <w14:schemeClr w14:val="tx1"/>
            </w14:solidFill>
          </w14:textFill>
        </w:rPr>
        <w:t>3.1地理位置</w:t>
      </w:r>
      <w:bookmarkEnd w:id="19"/>
    </w:p>
    <w:p w14:paraId="3462693E">
      <w:pPr>
        <w:widowControl/>
        <w:ind w:firstLine="640"/>
        <w:rPr>
          <w:rFonts w:ascii="仿宋" w:hAnsi="仿宋" w:eastAsia="仿宋" w:cs="仿宋"/>
          <w:sz w:val="32"/>
          <w:szCs w:val="32"/>
        </w:rPr>
      </w:pPr>
      <w:r>
        <w:rPr>
          <w:rFonts w:hint="eastAsia" w:ascii="仿宋" w:hAnsi="仿宋" w:eastAsia="仿宋" w:cs="仿宋"/>
          <w:sz w:val="32"/>
          <w:szCs w:val="32"/>
        </w:rPr>
        <w:t>城步苗族自治县地处湖南省的西南部，隶属于邵阳市，城步苗族自治县地处湖南省的西南部，东与新宁县接壤，北连武冈市，西北与绥宁县相接，西与通道县毗邻，南与广西壮族自治区的资源、龙胜县接壤，距省会</w:t>
      </w:r>
      <w:r>
        <w:rPr>
          <w:rFonts w:ascii="仿宋" w:hAnsi="仿宋" w:eastAsia="仿宋" w:cs="仿宋"/>
          <w:sz w:val="32"/>
          <w:szCs w:val="32"/>
        </w:rPr>
        <w:t>长沙383</w:t>
      </w:r>
      <w:r>
        <w:rPr>
          <w:rFonts w:hint="eastAsia" w:ascii="仿宋" w:hAnsi="仿宋" w:eastAsia="仿宋" w:cs="仿宋"/>
          <w:sz w:val="32"/>
          <w:szCs w:val="32"/>
        </w:rPr>
        <w:t>千米</w:t>
      </w:r>
      <w:r>
        <w:rPr>
          <w:rFonts w:ascii="仿宋" w:hAnsi="仿宋" w:eastAsia="仿宋" w:cs="仿宋"/>
          <w:sz w:val="32"/>
          <w:szCs w:val="32"/>
        </w:rPr>
        <w:t>，距邵阳市178</w:t>
      </w:r>
      <w:r>
        <w:rPr>
          <w:rFonts w:hint="eastAsia" w:ascii="仿宋" w:hAnsi="仿宋" w:eastAsia="仿宋" w:cs="仿宋"/>
          <w:sz w:val="32"/>
          <w:szCs w:val="32"/>
        </w:rPr>
        <w:t>千米</w:t>
      </w:r>
      <w:r>
        <w:rPr>
          <w:rFonts w:ascii="仿宋" w:hAnsi="仿宋" w:eastAsia="仿宋" w:cs="仿宋"/>
          <w:sz w:val="32"/>
          <w:szCs w:val="32"/>
        </w:rPr>
        <w:t>，位于东经109°58′至110°37′，北纬25°58′至26°42′之间。</w:t>
      </w:r>
    </w:p>
    <w:p w14:paraId="69CEE0F5">
      <w:pPr>
        <w:pStyle w:val="3"/>
        <w:numPr>
          <w:ilvl w:val="1"/>
          <w:numId w:val="0"/>
        </w:numPr>
        <w:ind w:firstLine="643" w:firstLineChars="200"/>
        <w:rPr>
          <w:rFonts w:ascii="楷体" w:hAnsi="楷体" w:eastAsia="楷体" w:cs="楷体"/>
          <w:color w:val="000000" w:themeColor="text1"/>
          <w:sz w:val="32"/>
          <w14:textFill>
            <w14:solidFill>
              <w14:schemeClr w14:val="tx1"/>
            </w14:solidFill>
          </w14:textFill>
        </w:rPr>
      </w:pPr>
      <w:bookmarkStart w:id="20" w:name="_Toc174515759"/>
      <w:r>
        <w:rPr>
          <w:rFonts w:hint="eastAsia" w:ascii="楷体" w:hAnsi="楷体" w:eastAsia="楷体" w:cs="楷体"/>
          <w:color w:val="000000" w:themeColor="text1"/>
          <w:sz w:val="32"/>
          <w14:textFill>
            <w14:solidFill>
              <w14:schemeClr w14:val="tx1"/>
            </w14:solidFill>
          </w14:textFill>
        </w:rPr>
        <w:t>3.2行政区划</w:t>
      </w:r>
      <w:bookmarkEnd w:id="20"/>
    </w:p>
    <w:p w14:paraId="2D1ABB12">
      <w:pPr>
        <w:widowControl/>
        <w:ind w:firstLine="640"/>
        <w:rPr>
          <w:rFonts w:ascii="仿宋" w:hAnsi="仿宋" w:eastAsia="仿宋" w:cs="仿宋"/>
          <w:sz w:val="32"/>
          <w:szCs w:val="32"/>
        </w:rPr>
      </w:pPr>
      <w:r>
        <w:rPr>
          <w:rFonts w:hint="eastAsia" w:ascii="仿宋" w:hAnsi="仿宋" w:eastAsia="仿宋" w:cs="仿宋"/>
          <w:sz w:val="32"/>
          <w:szCs w:val="32"/>
        </w:rPr>
        <w:t>城步苗族自治县辖儒林、茅坪、西岩、丹口、五团、长安营、白毛坪7个镇，威溪、兰蓉、汀坪、蒋坊、金紫5个乡以及土桥农场、西岩农场、南洞林场、县种子园、云马林场、青界山林场、燕子山林场、金紫山林场。</w:t>
      </w:r>
    </w:p>
    <w:p w14:paraId="48404C4F">
      <w:pPr>
        <w:pStyle w:val="3"/>
        <w:numPr>
          <w:ilvl w:val="1"/>
          <w:numId w:val="0"/>
        </w:numPr>
        <w:ind w:firstLine="643" w:firstLineChars="200"/>
        <w:rPr>
          <w:rFonts w:ascii="楷体" w:hAnsi="楷体" w:eastAsia="楷体" w:cs="楷体"/>
          <w:color w:val="000000" w:themeColor="text1"/>
          <w:sz w:val="32"/>
          <w14:textFill>
            <w14:solidFill>
              <w14:schemeClr w14:val="tx1"/>
            </w14:solidFill>
          </w14:textFill>
        </w:rPr>
      </w:pPr>
      <w:bookmarkStart w:id="21" w:name="_Toc174515760"/>
      <w:r>
        <w:rPr>
          <w:rFonts w:hint="eastAsia" w:ascii="楷体" w:hAnsi="楷体" w:eastAsia="楷体" w:cs="楷体"/>
          <w:color w:val="000000" w:themeColor="text1"/>
          <w:sz w:val="32"/>
          <w14:textFill>
            <w14:solidFill>
              <w14:schemeClr w14:val="tx1"/>
            </w14:solidFill>
          </w14:textFill>
        </w:rPr>
        <w:t>3.3地形地貌</w:t>
      </w:r>
      <w:bookmarkEnd w:id="21"/>
    </w:p>
    <w:p w14:paraId="2DCBAC39">
      <w:pPr>
        <w:ind w:firstLine="640"/>
        <w:rPr>
          <w:rFonts w:ascii="仿宋" w:hAnsi="仿宋" w:eastAsia="仿宋" w:cs="仿宋"/>
          <w:sz w:val="32"/>
          <w:szCs w:val="32"/>
        </w:rPr>
      </w:pPr>
      <w:r>
        <w:rPr>
          <w:rFonts w:hint="eastAsia" w:ascii="仿宋" w:hAnsi="仿宋" w:eastAsia="仿宋" w:cs="仿宋"/>
          <w:sz w:val="32"/>
          <w:szCs w:val="32"/>
        </w:rPr>
        <w:t>雪峰山脉纵贯县境，东南西三面环山，地势起伏大，东西部高峻，南高北低，呈畚箕形向北敞口。由于地质构造运动的影响，形成多种地貌类型，各类地貌呈北北东向条带伏平行排列。金童山至老山一带山岭，把县南境蓬洞、杨梅坳、五团、江头司等与县境中部分开，分别形成向南倾斜、向北倾斜的谷地，将源于县境的巫、资、渠、浔四水分为长江与珠江两大水系。平均高差从分水岭起。往南1481米，比降为6.33%；往北1572米，比降为3.54%。雪峰山脉伸展的县境东西两侧，山体平行展布，东有黄山、银竹老山、二宝顶、巫山、黔峰山、铁顶岩、青界山、马屁股山等大山，西有八十里大南山、老龙塘、乌鸡山、斜头山、大界坡、莲荷山、枫门岭等峻岭，形成天然屏障。中部从横水界至马鞍山、笔架山、雷公山一带山体。与县境东西两侧主山脉平行排列，将县境中部分为清溪谷地和羊石谷地。由于地表切割强烈，水系发育，构成树枝状水系，且山高坡陡，谷深滩险，河床落差大，地表径流量也大。东南西部地层古老，岩层普遍发生区域变质，多为规模不一的大小溪谷和波状起伏的群山。中部岩溶地貌较为发育，基岩裸露，形成溶沟、石牙、溶洞、漏斗及地下河，多峰丛溶洼，奇洞异石，北部则经流水侵蚀后，形成堆积岗地和溪谷平原。县境以山地为主，丘陵、岗地、溪谷平原兼有。山地占90.78%，丘陵占2.2%，岗地占1.1%，溪谷平原占2.7%，水域面积占3.22%。</w:t>
      </w:r>
    </w:p>
    <w:p w14:paraId="33276E90">
      <w:pPr>
        <w:pStyle w:val="3"/>
        <w:numPr>
          <w:ilvl w:val="1"/>
          <w:numId w:val="0"/>
        </w:numPr>
        <w:ind w:firstLine="643" w:firstLineChars="200"/>
        <w:rPr>
          <w:rFonts w:ascii="楷体" w:hAnsi="楷体" w:eastAsia="楷体" w:cs="楷体"/>
          <w:color w:val="000000" w:themeColor="text1"/>
          <w:sz w:val="32"/>
          <w14:textFill>
            <w14:solidFill>
              <w14:schemeClr w14:val="tx1"/>
            </w14:solidFill>
          </w14:textFill>
        </w:rPr>
      </w:pPr>
      <w:bookmarkStart w:id="22" w:name="_Toc174515761"/>
      <w:bookmarkStart w:id="23" w:name="_Toc8850"/>
      <w:r>
        <w:rPr>
          <w:rFonts w:hint="eastAsia" w:ascii="楷体" w:hAnsi="楷体" w:eastAsia="楷体" w:cs="楷体"/>
          <w:color w:val="000000" w:themeColor="text1"/>
          <w:sz w:val="32"/>
          <w14:textFill>
            <w14:solidFill>
              <w14:schemeClr w14:val="tx1"/>
            </w14:solidFill>
          </w14:textFill>
        </w:rPr>
        <w:t>3.4气候气象</w:t>
      </w:r>
      <w:bookmarkEnd w:id="22"/>
      <w:bookmarkEnd w:id="23"/>
    </w:p>
    <w:p w14:paraId="033DD153">
      <w:pPr>
        <w:widowControl/>
        <w:ind w:firstLine="640"/>
        <w:rPr>
          <w:rFonts w:ascii="仿宋" w:hAnsi="仿宋" w:eastAsia="仿宋" w:cs="仿宋"/>
          <w:sz w:val="32"/>
          <w:szCs w:val="32"/>
        </w:rPr>
      </w:pPr>
      <w:bookmarkStart w:id="24" w:name="_Toc3352"/>
      <w:r>
        <w:rPr>
          <w:rFonts w:hint="eastAsia" w:ascii="仿宋" w:hAnsi="仿宋" w:eastAsia="仿宋" w:cs="仿宋"/>
          <w:sz w:val="32"/>
          <w:szCs w:val="32"/>
        </w:rPr>
        <w:t>城步地处中亚热带季风湿润气候区，属中亚热带山地气候，四季分明，雨量充沛，冬少严寒，夏无酷暑，山地逆温效应明显。全年日照时数在1134.6～1601.5小时左右，年平均气温为16.1.℃，年平均降水量1218.5毫米，年平均降雪日数9.8天，相对湿度年平均在75～83%之间，年平均有霜日数为17.1天，全年冰冻平均天数为8.7天，境内除盛夏与初秋盛行偏南风，主要风向为偏北风，年平均风速2.3米/秒。</w:t>
      </w:r>
    </w:p>
    <w:p w14:paraId="2CB13100">
      <w:pPr>
        <w:pStyle w:val="3"/>
        <w:numPr>
          <w:ilvl w:val="1"/>
          <w:numId w:val="0"/>
        </w:numPr>
        <w:ind w:firstLine="640" w:firstLineChars="200"/>
        <w:rPr>
          <w:rFonts w:ascii="楷体" w:hAnsi="楷体" w:eastAsia="楷体" w:cs="楷体"/>
          <w:b w:val="0"/>
          <w:bCs w:val="0"/>
          <w:color w:val="000000" w:themeColor="text1"/>
          <w:sz w:val="32"/>
          <w14:textFill>
            <w14:solidFill>
              <w14:schemeClr w14:val="tx1"/>
            </w14:solidFill>
          </w14:textFill>
        </w:rPr>
      </w:pPr>
      <w:bookmarkStart w:id="25" w:name="_Toc174515762"/>
      <w:r>
        <w:rPr>
          <w:rFonts w:hint="eastAsia" w:ascii="楷体" w:hAnsi="楷体" w:eastAsia="楷体" w:cs="楷体"/>
          <w:b w:val="0"/>
          <w:bCs w:val="0"/>
          <w:color w:val="000000" w:themeColor="text1"/>
          <w:sz w:val="32"/>
          <w14:textFill>
            <w14:solidFill>
              <w14:schemeClr w14:val="tx1"/>
            </w14:solidFill>
          </w14:textFill>
        </w:rPr>
        <w:t>3.5农业发展</w:t>
      </w:r>
      <w:bookmarkEnd w:id="24"/>
      <w:bookmarkEnd w:id="25"/>
    </w:p>
    <w:p w14:paraId="7EA3B911">
      <w:pPr>
        <w:widowControl/>
        <w:ind w:firstLine="640"/>
        <w:rPr>
          <w:rFonts w:ascii="仿宋" w:hAnsi="仿宋" w:eastAsia="仿宋" w:cs="仿宋"/>
          <w:sz w:val="32"/>
          <w:szCs w:val="32"/>
        </w:rPr>
      </w:pPr>
      <w:r>
        <w:rPr>
          <w:rFonts w:hint="eastAsia" w:ascii="仿宋" w:hAnsi="仿宋" w:eastAsia="仿宋" w:cs="仿宋"/>
          <w:sz w:val="32"/>
          <w:szCs w:val="32"/>
        </w:rPr>
        <w:t>第三次国土调查，国土总面积258829.66公顷，耕地17821.52公顷（其中：水田16062.71公顷、旱地1758.81公顷），种植园用地4507.24公顷（其中：果园932.93公顷、茶园53.2公顷、其他园地3521.11公顷），林地212656.37公顷（其中：乔木林地159562.61公顷、灌木林地24197.96公顷、竹林地7579公顷、其他林地21316.8公顷），草地11217.98公顷。2023年以来全县农林牧渔业总产值269227万元，其中：农业产值113957万元，林业产值24794万元，牧业产值118765万元，农林牧渔服务业产值10040万元。全县粮食播种面积14.97千公顷，油料种植面积3.5千公顷，；蔬菜种植面积6.14千公顷。全县粮食总产量为83680吨，油料产量5252吨，水果产量54927吨，蔬菜产量118328吨，肉类总产量17300吨，水产品产量941吨。</w:t>
      </w:r>
    </w:p>
    <w:p w14:paraId="47408F95">
      <w:pPr>
        <w:pStyle w:val="3"/>
        <w:numPr>
          <w:ilvl w:val="1"/>
          <w:numId w:val="0"/>
        </w:numPr>
        <w:ind w:firstLine="640" w:firstLineChars="200"/>
        <w:rPr>
          <w:rFonts w:ascii="楷体" w:hAnsi="楷体" w:eastAsia="楷体" w:cs="楷体"/>
          <w:b w:val="0"/>
          <w:bCs w:val="0"/>
          <w:color w:val="000000" w:themeColor="text1"/>
          <w:sz w:val="32"/>
          <w14:textFill>
            <w14:solidFill>
              <w14:schemeClr w14:val="tx1"/>
            </w14:solidFill>
          </w14:textFill>
        </w:rPr>
      </w:pPr>
      <w:bookmarkStart w:id="26" w:name="_Toc174515763"/>
      <w:r>
        <w:rPr>
          <w:rFonts w:hint="eastAsia" w:ascii="楷体" w:hAnsi="楷体" w:eastAsia="楷体" w:cs="楷体"/>
          <w:b w:val="0"/>
          <w:bCs w:val="0"/>
          <w:color w:val="000000" w:themeColor="text1"/>
          <w:sz w:val="32"/>
          <w14:textFill>
            <w14:solidFill>
              <w14:schemeClr w14:val="tx1"/>
            </w14:solidFill>
          </w14:textFill>
        </w:rPr>
        <w:t>3.6特殊保护区域</w:t>
      </w:r>
      <w:bookmarkEnd w:id="26"/>
    </w:p>
    <w:p w14:paraId="539AD9BE">
      <w:pPr>
        <w:ind w:firstLine="640"/>
        <w:rPr>
          <w:rFonts w:ascii="仿宋" w:hAnsi="仿宋" w:eastAsia="仿宋" w:cs="仿宋"/>
          <w:color w:val="000000" w:themeColor="text1"/>
          <w:sz w:val="32"/>
          <w:szCs w:val="32"/>
          <w14:textFill>
            <w14:solidFill>
              <w14:schemeClr w14:val="tx1"/>
            </w14:solidFill>
          </w14:textFill>
        </w:rPr>
      </w:pPr>
      <w:r>
        <w:rPr>
          <w:rFonts w:hint="eastAsia" w:ascii="仿宋" w:hAnsi="仿宋" w:eastAsia="仿宋" w:cs="仿宋"/>
          <w:color w:val="000000" w:themeColor="text1"/>
          <w:sz w:val="32"/>
          <w:szCs w:val="32"/>
          <w14:textFill>
            <w14:solidFill>
              <w14:schemeClr w14:val="tx1"/>
            </w14:solidFill>
          </w14:textFill>
        </w:rPr>
        <w:t>根据调查及规划，特殊保护区域主要为南山国家公园试点区，包湖南两江峡谷国家森林公园，湖南南山国家级风景名胜区，湖南白云湖国家湿地公园，湖南金童山国家级自然保护区，水系包括巫水、资水。</w:t>
      </w:r>
    </w:p>
    <w:p w14:paraId="7E3E32F5">
      <w:pPr>
        <w:ind w:firstLine="640"/>
        <w:rPr>
          <w:rFonts w:ascii="仿宋" w:hAnsi="仿宋" w:eastAsia="仿宋" w:cs="仿宋"/>
          <w:color w:val="000000" w:themeColor="text1"/>
          <w:sz w:val="32"/>
          <w:szCs w:val="32"/>
          <w14:textFill>
            <w14:solidFill>
              <w14:schemeClr w14:val="tx1"/>
            </w14:solidFill>
          </w14:textFill>
        </w:rPr>
        <w:sectPr>
          <w:footerReference r:id="rId12" w:type="default"/>
          <w:pgSz w:w="11906" w:h="16838"/>
          <w:pgMar w:top="1440" w:right="1797" w:bottom="1440" w:left="1797" w:header="851" w:footer="992" w:gutter="0"/>
          <w:cols w:space="720" w:num="1"/>
          <w:docGrid w:type="lines" w:linePitch="312" w:charSpace="0"/>
        </w:sectPr>
      </w:pPr>
    </w:p>
    <w:p w14:paraId="17AA6B31">
      <w:pPr>
        <w:pStyle w:val="2"/>
        <w:numPr>
          <w:ilvl w:val="0"/>
          <w:numId w:val="0"/>
        </w:numPr>
        <w:spacing w:before="240" w:after="240" w:line="360" w:lineRule="auto"/>
        <w:rPr>
          <w:rFonts w:ascii="仿宋" w:hAnsi="仿宋" w:eastAsia="仿宋" w:cs="仿宋"/>
          <w:color w:val="000000" w:themeColor="text1"/>
          <w:sz w:val="44"/>
          <w14:textFill>
            <w14:solidFill>
              <w14:schemeClr w14:val="tx1"/>
            </w14:solidFill>
          </w14:textFill>
        </w:rPr>
      </w:pPr>
      <w:bookmarkStart w:id="27" w:name="_Toc174515764"/>
      <w:r>
        <w:rPr>
          <w:rFonts w:hint="eastAsia" w:ascii="仿宋" w:hAnsi="仿宋" w:eastAsia="仿宋" w:cs="仿宋"/>
          <w:color w:val="000000" w:themeColor="text1"/>
          <w:sz w:val="44"/>
          <w14:textFill>
            <w14:solidFill>
              <w14:schemeClr w14:val="tx1"/>
            </w14:solidFill>
          </w14:textFill>
        </w:rPr>
        <w:t>第4章秸秆禁烧区和限烧区划定方案</w:t>
      </w:r>
      <w:bookmarkEnd w:id="27"/>
    </w:p>
    <w:p w14:paraId="70958F4E">
      <w:pPr>
        <w:pStyle w:val="3"/>
        <w:numPr>
          <w:ilvl w:val="1"/>
          <w:numId w:val="0"/>
        </w:numPr>
        <w:ind w:firstLine="643" w:firstLineChars="200"/>
        <w:rPr>
          <w:rFonts w:ascii="楷体" w:hAnsi="楷体" w:eastAsia="楷体" w:cs="楷体"/>
          <w:color w:val="000000" w:themeColor="text1"/>
          <w:sz w:val="32"/>
          <w14:textFill>
            <w14:solidFill>
              <w14:schemeClr w14:val="tx1"/>
            </w14:solidFill>
          </w14:textFill>
        </w:rPr>
      </w:pPr>
      <w:bookmarkStart w:id="28" w:name="_Toc174515765"/>
      <w:r>
        <w:rPr>
          <w:rFonts w:hint="eastAsia" w:ascii="楷体" w:hAnsi="楷体" w:eastAsia="楷体" w:cs="楷体"/>
          <w:color w:val="000000" w:themeColor="text1"/>
          <w:sz w:val="32"/>
          <w14:textFill>
            <w14:solidFill>
              <w14:schemeClr w14:val="tx1"/>
            </w14:solidFill>
          </w14:textFill>
        </w:rPr>
        <w:t>4.1禁烧区划定</w:t>
      </w:r>
      <w:bookmarkEnd w:id="28"/>
    </w:p>
    <w:p w14:paraId="4CDACF23">
      <w:pPr>
        <w:adjustRightInd w:val="0"/>
        <w:snapToGrid w:val="0"/>
        <w:ind w:firstLine="640"/>
        <w:rPr>
          <w:rFonts w:ascii="仿宋" w:hAnsi="仿宋" w:eastAsia="仿宋" w:cs="仿宋"/>
          <w:color w:val="000000" w:themeColor="text1"/>
          <w:sz w:val="32"/>
          <w:szCs w:val="32"/>
          <w14:textFill>
            <w14:solidFill>
              <w14:schemeClr w14:val="tx1"/>
            </w14:solidFill>
          </w14:textFill>
        </w:rPr>
      </w:pPr>
      <w:r>
        <w:rPr>
          <w:rFonts w:hint="eastAsia" w:ascii="仿宋" w:hAnsi="仿宋" w:eastAsia="仿宋" w:cs="仿宋"/>
          <w:color w:val="000000" w:themeColor="text1"/>
          <w:sz w:val="32"/>
          <w:szCs w:val="32"/>
          <w14:textFill>
            <w14:solidFill>
              <w14:schemeClr w14:val="tx1"/>
            </w14:solidFill>
          </w14:textFill>
        </w:rPr>
        <w:t>禁烧区即禁止农作物秸秆露天焚烧的区域，应实行强制性禁烧政策和管理措施，除经检疫确需焚烧处理病虫害外，在其他任何时间、任何气象条件及空气质量状况下，均不允许秸秆露天焚烧。在秸秆禁烧区要设立明显警示标志，标明“秸秆禁烧区”字样。农作物秸秆禁烧区主要包括城市建成区、高速公路、国省干道周围区域和特殊区域。</w:t>
      </w:r>
    </w:p>
    <w:p w14:paraId="096CEDAB">
      <w:pPr>
        <w:ind w:firstLine="640"/>
        <w:rPr>
          <w:rFonts w:ascii="仿宋" w:hAnsi="仿宋" w:eastAsia="仿宋" w:cs="仿宋"/>
          <w:color w:val="000000" w:themeColor="text1"/>
          <w:sz w:val="32"/>
          <w:szCs w:val="32"/>
          <w14:textFill>
            <w14:solidFill>
              <w14:schemeClr w14:val="tx1"/>
            </w14:solidFill>
          </w14:textFill>
        </w:rPr>
      </w:pPr>
      <w:r>
        <w:rPr>
          <w:rFonts w:hint="eastAsia" w:ascii="仿宋" w:hAnsi="仿宋" w:eastAsia="仿宋" w:cs="仿宋"/>
          <w:color w:val="000000" w:themeColor="text1"/>
          <w:sz w:val="32"/>
          <w:szCs w:val="32"/>
          <w14:textFill>
            <w14:solidFill>
              <w14:schemeClr w14:val="tx1"/>
            </w14:solidFill>
          </w14:textFill>
        </w:rPr>
        <w:t>1.高速公路两侧</w:t>
      </w:r>
    </w:p>
    <w:p w14:paraId="1E57A8FC">
      <w:pPr>
        <w:ind w:firstLine="640"/>
        <w:rPr>
          <w:rFonts w:ascii="仿宋" w:hAnsi="仿宋" w:eastAsia="仿宋" w:cs="仿宋"/>
          <w:color w:val="000000" w:themeColor="text1"/>
          <w:sz w:val="32"/>
          <w:szCs w:val="32"/>
          <w14:textFill>
            <w14:solidFill>
              <w14:schemeClr w14:val="tx1"/>
            </w14:solidFill>
          </w14:textFill>
        </w:rPr>
      </w:pPr>
      <w:r>
        <w:rPr>
          <w:rFonts w:hint="eastAsia" w:ascii="仿宋" w:hAnsi="仿宋" w:eastAsia="仿宋" w:cs="仿宋"/>
          <w:color w:val="000000" w:themeColor="text1"/>
          <w:sz w:val="32"/>
          <w:szCs w:val="32"/>
          <w14:textFill>
            <w14:solidFill>
              <w14:schemeClr w14:val="tx1"/>
            </w14:solidFill>
          </w14:textFill>
        </w:rPr>
        <w:t>高速公路沿线两侧（以外侧为起点）外延2000米，主要包括</w:t>
      </w:r>
      <w:r>
        <w:rPr>
          <w:rFonts w:ascii="仿宋" w:hAnsi="仿宋" w:eastAsia="仿宋" w:cs="仿宋"/>
          <w:color w:val="000000" w:themeColor="text1"/>
          <w:sz w:val="32"/>
          <w:szCs w:val="32"/>
          <w14:textFill>
            <w14:solidFill>
              <w14:schemeClr w14:val="tx1"/>
            </w14:solidFill>
          </w14:textFill>
        </w:rPr>
        <w:t>靖州至绥宁高速</w:t>
      </w:r>
      <w:r>
        <w:rPr>
          <w:rFonts w:hint="eastAsia" w:ascii="仿宋" w:hAnsi="仿宋" w:eastAsia="仿宋" w:cs="仿宋"/>
          <w:color w:val="000000" w:themeColor="text1"/>
          <w:sz w:val="32"/>
          <w:szCs w:val="32"/>
          <w14:textFill>
            <w14:solidFill>
              <w14:schemeClr w14:val="tx1"/>
            </w14:solidFill>
          </w14:textFill>
        </w:rPr>
        <w:t>、</w:t>
      </w:r>
      <w:r>
        <w:rPr>
          <w:rFonts w:ascii="仿宋" w:hAnsi="仿宋" w:eastAsia="仿宋" w:cs="仿宋"/>
          <w:color w:val="000000" w:themeColor="text1"/>
          <w:sz w:val="32"/>
          <w:szCs w:val="32"/>
          <w14:textFill>
            <w14:solidFill>
              <w14:schemeClr w14:val="tx1"/>
            </w14:solidFill>
          </w14:textFill>
        </w:rPr>
        <w:t>洞城高速</w:t>
      </w:r>
      <w:r>
        <w:rPr>
          <w:rFonts w:hint="eastAsia" w:ascii="仿宋" w:hAnsi="仿宋" w:eastAsia="仿宋" w:cs="仿宋"/>
          <w:color w:val="000000" w:themeColor="text1"/>
          <w:sz w:val="32"/>
          <w:szCs w:val="32"/>
          <w14:textFill>
            <w14:solidFill>
              <w14:schemeClr w14:val="tx1"/>
            </w14:solidFill>
          </w14:textFill>
        </w:rPr>
        <w:t>和</w:t>
      </w:r>
      <w:r>
        <w:rPr>
          <w:rFonts w:ascii="仿宋" w:hAnsi="仿宋" w:eastAsia="仿宋" w:cs="仿宋"/>
          <w:color w:val="000000" w:themeColor="text1"/>
          <w:sz w:val="32"/>
          <w:szCs w:val="32"/>
          <w14:textFill>
            <w14:solidFill>
              <w14:schemeClr w14:val="tx1"/>
            </w14:solidFill>
          </w14:textFill>
        </w:rPr>
        <w:t>城步至龙胜（湘桂界）高速</w:t>
      </w:r>
      <w:r>
        <w:rPr>
          <w:rFonts w:hint="eastAsia" w:ascii="仿宋" w:hAnsi="仿宋" w:eastAsia="仿宋" w:cs="仿宋"/>
          <w:color w:val="000000" w:themeColor="text1"/>
          <w:sz w:val="32"/>
          <w:szCs w:val="32"/>
          <w14:textFill>
            <w14:solidFill>
              <w14:schemeClr w14:val="tx1"/>
            </w14:solidFill>
          </w14:textFill>
        </w:rPr>
        <w:t>，总长度约137</w:t>
      </w:r>
      <w:r>
        <w:rPr>
          <w:rFonts w:ascii="仿宋" w:hAnsi="仿宋" w:eastAsia="仿宋" w:cs="仿宋"/>
          <w:color w:val="000000" w:themeColor="text1"/>
          <w:sz w:val="32"/>
          <w:szCs w:val="32"/>
          <w14:textFill>
            <w14:solidFill>
              <w14:schemeClr w14:val="tx1"/>
            </w14:solidFill>
          </w14:textFill>
        </w:rPr>
        <w:t>.8</w:t>
      </w:r>
      <w:r>
        <w:rPr>
          <w:rFonts w:hint="eastAsia" w:ascii="仿宋" w:hAnsi="仿宋" w:eastAsia="仿宋" w:cs="仿宋"/>
          <w:color w:val="000000" w:themeColor="text1"/>
          <w:sz w:val="32"/>
          <w:szCs w:val="32"/>
          <w14:textFill>
            <w14:solidFill>
              <w14:schemeClr w14:val="tx1"/>
            </w14:solidFill>
          </w14:textFill>
        </w:rPr>
        <w:t>公里。</w:t>
      </w:r>
    </w:p>
    <w:p w14:paraId="654C4262">
      <w:pPr>
        <w:ind w:firstLine="640"/>
        <w:rPr>
          <w:rFonts w:ascii="仿宋" w:hAnsi="仿宋" w:eastAsia="仿宋" w:cs="仿宋"/>
          <w:color w:val="000000" w:themeColor="text1"/>
          <w:sz w:val="32"/>
          <w:szCs w:val="32"/>
          <w14:textFill>
            <w14:solidFill>
              <w14:schemeClr w14:val="tx1"/>
            </w14:solidFill>
          </w14:textFill>
        </w:rPr>
      </w:pPr>
      <w:r>
        <w:rPr>
          <w:rFonts w:hint="eastAsia" w:ascii="仿宋" w:hAnsi="仿宋" w:eastAsia="仿宋" w:cs="仿宋"/>
          <w:color w:val="000000" w:themeColor="text1"/>
          <w:sz w:val="32"/>
          <w:szCs w:val="32"/>
          <w14:textFill>
            <w14:solidFill>
              <w14:schemeClr w14:val="tx1"/>
            </w14:solidFill>
          </w14:textFill>
        </w:rPr>
        <w:t>2.国、省干道两侧</w:t>
      </w:r>
    </w:p>
    <w:p w14:paraId="163A9A1A">
      <w:pPr>
        <w:ind w:firstLine="640"/>
        <w:rPr>
          <w:rFonts w:ascii="仿宋" w:hAnsi="仿宋" w:eastAsia="仿宋" w:cs="仿宋"/>
          <w:color w:val="000000" w:themeColor="text1"/>
          <w:sz w:val="32"/>
          <w:szCs w:val="32"/>
          <w14:textFill>
            <w14:solidFill>
              <w14:schemeClr w14:val="tx1"/>
            </w14:solidFill>
          </w14:textFill>
        </w:rPr>
      </w:pPr>
      <w:r>
        <w:rPr>
          <w:rFonts w:hint="eastAsia" w:ascii="仿宋" w:hAnsi="仿宋" w:eastAsia="仿宋" w:cs="仿宋"/>
          <w:color w:val="000000" w:themeColor="text1"/>
          <w:sz w:val="32"/>
          <w:szCs w:val="32"/>
          <w14:textFill>
            <w14:solidFill>
              <w14:schemeClr w14:val="tx1"/>
            </w14:solidFill>
          </w14:textFill>
        </w:rPr>
        <w:t>国道、省道公路干线两侧（以外侧为起点）外延1000米，主要包括国道</w:t>
      </w:r>
      <w:r>
        <w:rPr>
          <w:rFonts w:ascii="仿宋" w:hAnsi="仿宋" w:eastAsia="仿宋" w:cs="仿宋"/>
          <w:color w:val="000000" w:themeColor="text1"/>
          <w:sz w:val="32"/>
          <w:szCs w:val="32"/>
          <w14:textFill>
            <w14:solidFill>
              <w14:schemeClr w14:val="tx1"/>
            </w14:solidFill>
          </w14:textFill>
        </w:rPr>
        <w:t>G356</w:t>
      </w:r>
      <w:r>
        <w:rPr>
          <w:rFonts w:hint="eastAsia" w:ascii="仿宋" w:hAnsi="仿宋" w:eastAsia="仿宋" w:cs="仿宋"/>
          <w:color w:val="000000" w:themeColor="text1"/>
          <w:sz w:val="32"/>
          <w:szCs w:val="32"/>
          <w14:textFill>
            <w14:solidFill>
              <w14:schemeClr w14:val="tx1"/>
            </w14:solidFill>
          </w14:textFill>
        </w:rPr>
        <w:t>、省道</w:t>
      </w:r>
      <w:r>
        <w:rPr>
          <w:rFonts w:ascii="仿宋" w:hAnsi="仿宋" w:eastAsia="仿宋" w:cs="仿宋"/>
          <w:color w:val="000000" w:themeColor="text1"/>
          <w:sz w:val="32"/>
          <w:szCs w:val="32"/>
          <w14:textFill>
            <w14:solidFill>
              <w14:schemeClr w14:val="tx1"/>
            </w14:solidFill>
          </w14:textFill>
        </w:rPr>
        <w:t>S248</w:t>
      </w:r>
      <w:r>
        <w:rPr>
          <w:rFonts w:hint="eastAsia" w:ascii="仿宋" w:hAnsi="仿宋" w:eastAsia="仿宋" w:cs="仿宋"/>
          <w:color w:val="000000" w:themeColor="text1"/>
          <w:sz w:val="32"/>
          <w:szCs w:val="32"/>
          <w14:textFill>
            <w14:solidFill>
              <w14:schemeClr w14:val="tx1"/>
            </w14:solidFill>
          </w14:textFill>
        </w:rPr>
        <w:t>、</w:t>
      </w:r>
      <w:r>
        <w:rPr>
          <w:rFonts w:ascii="仿宋" w:hAnsi="仿宋" w:eastAsia="仿宋" w:cs="仿宋"/>
          <w:color w:val="000000" w:themeColor="text1"/>
          <w:sz w:val="32"/>
          <w:szCs w:val="32"/>
          <w14:textFill>
            <w14:solidFill>
              <w14:schemeClr w14:val="tx1"/>
            </w14:solidFill>
          </w14:textFill>
        </w:rPr>
        <w:t>S251</w:t>
      </w:r>
      <w:r>
        <w:rPr>
          <w:rFonts w:hint="eastAsia" w:ascii="仿宋" w:hAnsi="仿宋" w:eastAsia="仿宋" w:cs="仿宋"/>
          <w:color w:val="000000" w:themeColor="text1"/>
          <w:sz w:val="32"/>
          <w:szCs w:val="32"/>
          <w14:textFill>
            <w14:solidFill>
              <w14:schemeClr w14:val="tx1"/>
            </w14:solidFill>
          </w14:textFill>
        </w:rPr>
        <w:t>、</w:t>
      </w:r>
      <w:r>
        <w:rPr>
          <w:rFonts w:ascii="仿宋" w:hAnsi="仿宋" w:eastAsia="仿宋" w:cs="仿宋"/>
          <w:color w:val="000000" w:themeColor="text1"/>
          <w:sz w:val="32"/>
          <w:szCs w:val="32"/>
          <w14:textFill>
            <w14:solidFill>
              <w14:schemeClr w14:val="tx1"/>
            </w14:solidFill>
          </w14:textFill>
        </w:rPr>
        <w:t>S341</w:t>
      </w:r>
      <w:r>
        <w:rPr>
          <w:rFonts w:hint="eastAsia" w:ascii="仿宋" w:hAnsi="仿宋" w:eastAsia="仿宋" w:cs="仿宋"/>
          <w:color w:val="000000" w:themeColor="text1"/>
          <w:sz w:val="32"/>
          <w:szCs w:val="32"/>
          <w14:textFill>
            <w14:solidFill>
              <w14:schemeClr w14:val="tx1"/>
            </w14:solidFill>
          </w14:textFill>
        </w:rPr>
        <w:t>、</w:t>
      </w:r>
      <w:r>
        <w:rPr>
          <w:rFonts w:ascii="仿宋" w:hAnsi="仿宋" w:eastAsia="仿宋" w:cs="仿宋"/>
          <w:color w:val="000000" w:themeColor="text1"/>
          <w:sz w:val="32"/>
          <w:szCs w:val="32"/>
          <w14:textFill>
            <w14:solidFill>
              <w14:schemeClr w14:val="tx1"/>
            </w14:solidFill>
          </w14:textFill>
        </w:rPr>
        <w:t>S576</w:t>
      </w:r>
      <w:r>
        <w:rPr>
          <w:rFonts w:hint="eastAsia" w:ascii="仿宋" w:hAnsi="仿宋" w:eastAsia="仿宋" w:cs="仿宋"/>
          <w:color w:val="000000" w:themeColor="text1"/>
          <w:sz w:val="32"/>
          <w:szCs w:val="32"/>
          <w14:textFill>
            <w14:solidFill>
              <w14:schemeClr w14:val="tx1"/>
            </w14:solidFill>
          </w14:textFill>
        </w:rPr>
        <w:t>，总长度约447</w:t>
      </w:r>
      <w:r>
        <w:rPr>
          <w:rFonts w:ascii="仿宋" w:hAnsi="仿宋" w:eastAsia="仿宋" w:cs="仿宋"/>
          <w:color w:val="000000" w:themeColor="text1"/>
          <w:sz w:val="32"/>
          <w:szCs w:val="32"/>
          <w14:textFill>
            <w14:solidFill>
              <w14:schemeClr w14:val="tx1"/>
            </w14:solidFill>
          </w14:textFill>
        </w:rPr>
        <w:t>.1</w:t>
      </w:r>
      <w:r>
        <w:rPr>
          <w:rFonts w:hint="eastAsia" w:ascii="仿宋" w:hAnsi="仿宋" w:eastAsia="仿宋" w:cs="仿宋"/>
          <w:color w:val="000000" w:themeColor="text1"/>
          <w:sz w:val="32"/>
          <w:szCs w:val="32"/>
          <w14:textFill>
            <w14:solidFill>
              <w14:schemeClr w14:val="tx1"/>
            </w14:solidFill>
          </w14:textFill>
        </w:rPr>
        <w:t>公里。</w:t>
      </w:r>
    </w:p>
    <w:p w14:paraId="4DC27A23">
      <w:pPr>
        <w:ind w:firstLine="0" w:firstLineChars="0"/>
        <w:jc w:val="center"/>
        <w:rPr>
          <w:rFonts w:ascii="仿宋" w:hAnsi="仿宋" w:eastAsia="仿宋" w:cs="仿宋"/>
          <w:b/>
          <w:color w:val="000000" w:themeColor="text1"/>
          <w:szCs w:val="32"/>
          <w14:textFill>
            <w14:solidFill>
              <w14:schemeClr w14:val="tx1"/>
            </w14:solidFill>
          </w14:textFill>
        </w:rPr>
      </w:pPr>
      <w:r>
        <w:rPr>
          <w:rFonts w:ascii="仿宋" w:hAnsi="仿宋" w:eastAsia="仿宋" w:cs="仿宋"/>
          <w:b/>
          <w:color w:val="000000" w:themeColor="text1"/>
          <w:szCs w:val="32"/>
          <w14:textFill>
            <w14:solidFill>
              <w14:schemeClr w14:val="tx1"/>
            </w14:solidFill>
          </w14:textFill>
        </w:rPr>
        <w:br w:type="page"/>
      </w:r>
    </w:p>
    <w:p w14:paraId="11B4822F">
      <w:pPr>
        <w:ind w:firstLine="0" w:firstLineChars="0"/>
        <w:jc w:val="center"/>
        <w:rPr>
          <w:rFonts w:ascii="仿宋" w:hAnsi="仿宋" w:eastAsia="仿宋" w:cs="仿宋"/>
          <w:b/>
          <w:color w:val="000000" w:themeColor="text1"/>
          <w:szCs w:val="32"/>
          <w14:textFill>
            <w14:solidFill>
              <w14:schemeClr w14:val="tx1"/>
            </w14:solidFill>
          </w14:textFill>
        </w:rPr>
      </w:pPr>
      <w:r>
        <w:rPr>
          <w:rFonts w:hint="eastAsia" w:ascii="仿宋" w:hAnsi="仿宋" w:eastAsia="仿宋" w:cs="仿宋"/>
          <w:b/>
          <w:color w:val="000000" w:themeColor="text1"/>
          <w:szCs w:val="32"/>
          <w14:textFill>
            <w14:solidFill>
              <w14:schemeClr w14:val="tx1"/>
            </w14:solidFill>
          </w14:textFill>
        </w:rPr>
        <w:t>城步苗族自治县现状高速、国道、省道一览表</w:t>
      </w:r>
    </w:p>
    <w:tbl>
      <w:tblPr>
        <w:tblStyle w:val="13"/>
        <w:tblW w:w="9280" w:type="dxa"/>
        <w:tblInd w:w="113" w:type="dxa"/>
        <w:tblLayout w:type="autofit"/>
        <w:tblCellMar>
          <w:top w:w="0" w:type="dxa"/>
          <w:left w:w="108" w:type="dxa"/>
          <w:bottom w:w="0" w:type="dxa"/>
          <w:right w:w="108" w:type="dxa"/>
        </w:tblCellMar>
      </w:tblPr>
      <w:tblGrid>
        <w:gridCol w:w="1480"/>
        <w:gridCol w:w="1320"/>
        <w:gridCol w:w="3880"/>
        <w:gridCol w:w="920"/>
        <w:gridCol w:w="1680"/>
      </w:tblGrid>
      <w:tr w14:paraId="1795306D">
        <w:tblPrEx>
          <w:tblCellMar>
            <w:top w:w="0" w:type="dxa"/>
            <w:left w:w="108" w:type="dxa"/>
            <w:bottom w:w="0" w:type="dxa"/>
            <w:right w:w="108" w:type="dxa"/>
          </w:tblCellMar>
        </w:tblPrEx>
        <w:trPr>
          <w:trHeight w:val="255" w:hRule="atLeast"/>
        </w:trPr>
        <w:tc>
          <w:tcPr>
            <w:tcW w:w="1480" w:type="dxa"/>
            <w:tcBorders>
              <w:top w:val="single" w:color="auto" w:sz="4" w:space="0"/>
              <w:left w:val="single" w:color="auto" w:sz="4" w:space="0"/>
              <w:bottom w:val="single" w:color="auto" w:sz="4" w:space="0"/>
              <w:right w:val="single" w:color="auto" w:sz="4" w:space="0"/>
            </w:tcBorders>
            <w:shd w:val="clear" w:color="auto" w:fill="auto"/>
            <w:noWrap/>
            <w:vAlign w:val="center"/>
          </w:tcPr>
          <w:p w14:paraId="483800AE">
            <w:pPr>
              <w:widowControl/>
              <w:ind w:firstLine="0" w:firstLineChars="0"/>
              <w:jc w:val="center"/>
              <w:rPr>
                <w:rFonts w:ascii="仿宋" w:hAnsi="仿宋" w:eastAsia="仿宋" w:cs="Arial"/>
                <w:b/>
                <w:bCs/>
                <w:kern w:val="0"/>
                <w:szCs w:val="28"/>
              </w:rPr>
            </w:pPr>
            <w:r>
              <w:rPr>
                <w:rFonts w:hint="eastAsia" w:ascii="仿宋" w:hAnsi="仿宋" w:eastAsia="仿宋" w:cs="Arial"/>
                <w:b/>
                <w:bCs/>
                <w:kern w:val="0"/>
                <w:szCs w:val="28"/>
              </w:rPr>
              <w:t>序号</w:t>
            </w:r>
          </w:p>
        </w:tc>
        <w:tc>
          <w:tcPr>
            <w:tcW w:w="1320" w:type="dxa"/>
            <w:tcBorders>
              <w:top w:val="single" w:color="auto" w:sz="4" w:space="0"/>
              <w:left w:val="nil"/>
              <w:bottom w:val="single" w:color="auto" w:sz="4" w:space="0"/>
              <w:right w:val="single" w:color="auto" w:sz="4" w:space="0"/>
            </w:tcBorders>
            <w:shd w:val="clear" w:color="auto" w:fill="auto"/>
            <w:noWrap/>
            <w:vAlign w:val="center"/>
          </w:tcPr>
          <w:p w14:paraId="7F15CFB1">
            <w:pPr>
              <w:widowControl/>
              <w:ind w:firstLine="0" w:firstLineChars="0"/>
              <w:jc w:val="center"/>
              <w:rPr>
                <w:rFonts w:ascii="仿宋" w:hAnsi="仿宋" w:eastAsia="仿宋" w:cs="Arial"/>
                <w:b/>
                <w:bCs/>
                <w:kern w:val="0"/>
                <w:szCs w:val="28"/>
              </w:rPr>
            </w:pPr>
            <w:r>
              <w:rPr>
                <w:rFonts w:hint="eastAsia" w:ascii="仿宋" w:hAnsi="仿宋" w:eastAsia="仿宋" w:cs="Arial"/>
                <w:b/>
                <w:bCs/>
                <w:kern w:val="0"/>
                <w:szCs w:val="28"/>
              </w:rPr>
              <w:t>类型</w:t>
            </w:r>
          </w:p>
        </w:tc>
        <w:tc>
          <w:tcPr>
            <w:tcW w:w="3880" w:type="dxa"/>
            <w:tcBorders>
              <w:top w:val="single" w:color="auto" w:sz="4" w:space="0"/>
              <w:left w:val="nil"/>
              <w:bottom w:val="single" w:color="auto" w:sz="4" w:space="0"/>
              <w:right w:val="single" w:color="auto" w:sz="4" w:space="0"/>
            </w:tcBorders>
            <w:shd w:val="clear" w:color="auto" w:fill="auto"/>
            <w:noWrap/>
            <w:vAlign w:val="center"/>
          </w:tcPr>
          <w:p w14:paraId="75487E46">
            <w:pPr>
              <w:widowControl/>
              <w:ind w:firstLine="0" w:firstLineChars="0"/>
              <w:jc w:val="center"/>
              <w:rPr>
                <w:rFonts w:ascii="仿宋" w:hAnsi="仿宋" w:eastAsia="仿宋" w:cs="Arial"/>
                <w:b/>
                <w:bCs/>
                <w:kern w:val="0"/>
                <w:szCs w:val="28"/>
              </w:rPr>
            </w:pPr>
            <w:r>
              <w:rPr>
                <w:rFonts w:hint="eastAsia" w:ascii="仿宋" w:hAnsi="仿宋" w:eastAsia="仿宋" w:cs="Arial"/>
                <w:b/>
                <w:bCs/>
                <w:kern w:val="0"/>
                <w:szCs w:val="28"/>
              </w:rPr>
              <w:t>设施名称</w:t>
            </w:r>
          </w:p>
        </w:tc>
        <w:tc>
          <w:tcPr>
            <w:tcW w:w="920" w:type="dxa"/>
            <w:tcBorders>
              <w:top w:val="single" w:color="auto" w:sz="4" w:space="0"/>
              <w:left w:val="nil"/>
              <w:bottom w:val="single" w:color="auto" w:sz="4" w:space="0"/>
              <w:right w:val="single" w:color="auto" w:sz="4" w:space="0"/>
            </w:tcBorders>
            <w:shd w:val="clear" w:color="auto" w:fill="auto"/>
            <w:noWrap/>
            <w:vAlign w:val="center"/>
          </w:tcPr>
          <w:p w14:paraId="53309C0A">
            <w:pPr>
              <w:widowControl/>
              <w:ind w:firstLine="0" w:firstLineChars="0"/>
              <w:jc w:val="center"/>
              <w:rPr>
                <w:rFonts w:ascii="仿宋" w:hAnsi="仿宋" w:eastAsia="仿宋" w:cs="Arial"/>
                <w:b/>
                <w:bCs/>
                <w:kern w:val="0"/>
                <w:szCs w:val="28"/>
              </w:rPr>
            </w:pPr>
            <w:r>
              <w:rPr>
                <w:rFonts w:hint="eastAsia" w:ascii="仿宋" w:hAnsi="仿宋" w:eastAsia="仿宋" w:cs="Arial"/>
                <w:b/>
                <w:bCs/>
                <w:kern w:val="0"/>
                <w:szCs w:val="28"/>
              </w:rPr>
              <w:t>建设状态</w:t>
            </w:r>
          </w:p>
        </w:tc>
        <w:tc>
          <w:tcPr>
            <w:tcW w:w="1680" w:type="dxa"/>
            <w:tcBorders>
              <w:top w:val="single" w:color="auto" w:sz="4" w:space="0"/>
              <w:left w:val="nil"/>
              <w:bottom w:val="single" w:color="auto" w:sz="4" w:space="0"/>
              <w:right w:val="single" w:color="auto" w:sz="4" w:space="0"/>
            </w:tcBorders>
            <w:shd w:val="clear" w:color="auto" w:fill="auto"/>
            <w:noWrap/>
            <w:vAlign w:val="center"/>
          </w:tcPr>
          <w:p w14:paraId="1F3CE1FD">
            <w:pPr>
              <w:widowControl/>
              <w:ind w:firstLine="0" w:firstLineChars="0"/>
              <w:jc w:val="center"/>
              <w:rPr>
                <w:rFonts w:ascii="仿宋" w:hAnsi="仿宋" w:eastAsia="仿宋" w:cs="Arial"/>
                <w:b/>
                <w:bCs/>
                <w:kern w:val="0"/>
                <w:szCs w:val="28"/>
              </w:rPr>
            </w:pPr>
            <w:r>
              <w:rPr>
                <w:rFonts w:hint="eastAsia" w:ascii="仿宋" w:hAnsi="仿宋" w:eastAsia="仿宋" w:cs="Arial"/>
                <w:b/>
                <w:bCs/>
                <w:kern w:val="0"/>
                <w:szCs w:val="28"/>
              </w:rPr>
              <w:t>长度（公里）</w:t>
            </w:r>
          </w:p>
        </w:tc>
      </w:tr>
      <w:tr w14:paraId="71A5ABB4">
        <w:tblPrEx>
          <w:tblCellMar>
            <w:top w:w="0" w:type="dxa"/>
            <w:left w:w="108" w:type="dxa"/>
            <w:bottom w:w="0" w:type="dxa"/>
            <w:right w:w="108" w:type="dxa"/>
          </w:tblCellMar>
        </w:tblPrEx>
        <w:trPr>
          <w:trHeight w:val="255" w:hRule="atLeast"/>
        </w:trPr>
        <w:tc>
          <w:tcPr>
            <w:tcW w:w="1480" w:type="dxa"/>
            <w:tcBorders>
              <w:top w:val="nil"/>
              <w:left w:val="single" w:color="auto" w:sz="4" w:space="0"/>
              <w:bottom w:val="single" w:color="auto" w:sz="4" w:space="0"/>
              <w:right w:val="single" w:color="auto" w:sz="4" w:space="0"/>
            </w:tcBorders>
            <w:shd w:val="clear" w:color="auto" w:fill="auto"/>
            <w:noWrap/>
            <w:vAlign w:val="center"/>
          </w:tcPr>
          <w:p w14:paraId="563FCBD3">
            <w:pPr>
              <w:widowControl/>
              <w:ind w:firstLine="0" w:firstLineChars="0"/>
              <w:jc w:val="center"/>
              <w:rPr>
                <w:rFonts w:ascii="仿宋" w:hAnsi="仿宋" w:eastAsia="仿宋" w:cs="Arial"/>
                <w:kern w:val="0"/>
                <w:szCs w:val="28"/>
              </w:rPr>
            </w:pPr>
            <w:r>
              <w:rPr>
                <w:rFonts w:ascii="仿宋" w:hAnsi="仿宋" w:eastAsia="仿宋" w:cs="Arial"/>
                <w:kern w:val="0"/>
                <w:szCs w:val="28"/>
              </w:rPr>
              <w:t>1</w:t>
            </w:r>
          </w:p>
        </w:tc>
        <w:tc>
          <w:tcPr>
            <w:tcW w:w="1320" w:type="dxa"/>
            <w:tcBorders>
              <w:top w:val="nil"/>
              <w:left w:val="nil"/>
              <w:bottom w:val="single" w:color="auto" w:sz="4" w:space="0"/>
              <w:right w:val="single" w:color="auto" w:sz="4" w:space="0"/>
            </w:tcBorders>
            <w:shd w:val="clear" w:color="auto" w:fill="auto"/>
            <w:noWrap/>
            <w:vAlign w:val="center"/>
          </w:tcPr>
          <w:p w14:paraId="6BC1A5DF">
            <w:pPr>
              <w:widowControl/>
              <w:ind w:firstLine="0" w:firstLineChars="0"/>
              <w:jc w:val="center"/>
              <w:rPr>
                <w:rFonts w:ascii="仿宋" w:hAnsi="仿宋" w:eastAsia="仿宋" w:cs="Arial"/>
                <w:kern w:val="0"/>
                <w:szCs w:val="28"/>
              </w:rPr>
            </w:pPr>
            <w:r>
              <w:rPr>
                <w:rFonts w:ascii="仿宋" w:hAnsi="仿宋" w:eastAsia="仿宋" w:cs="Arial"/>
                <w:kern w:val="0"/>
                <w:szCs w:val="28"/>
              </w:rPr>
              <w:t>高速</w:t>
            </w:r>
          </w:p>
        </w:tc>
        <w:tc>
          <w:tcPr>
            <w:tcW w:w="3880" w:type="dxa"/>
            <w:tcBorders>
              <w:top w:val="nil"/>
              <w:left w:val="nil"/>
              <w:bottom w:val="single" w:color="auto" w:sz="4" w:space="0"/>
              <w:right w:val="single" w:color="auto" w:sz="4" w:space="0"/>
            </w:tcBorders>
            <w:shd w:val="clear" w:color="auto" w:fill="auto"/>
            <w:noWrap/>
            <w:vAlign w:val="center"/>
          </w:tcPr>
          <w:p w14:paraId="0A478392">
            <w:pPr>
              <w:widowControl/>
              <w:ind w:firstLine="0" w:firstLineChars="0"/>
              <w:jc w:val="center"/>
              <w:rPr>
                <w:rFonts w:ascii="仿宋" w:hAnsi="仿宋" w:eastAsia="仿宋" w:cs="Arial"/>
                <w:kern w:val="0"/>
                <w:szCs w:val="28"/>
              </w:rPr>
            </w:pPr>
            <w:r>
              <w:rPr>
                <w:rFonts w:ascii="仿宋" w:hAnsi="仿宋" w:eastAsia="仿宋" w:cs="Arial"/>
                <w:kern w:val="0"/>
                <w:szCs w:val="28"/>
              </w:rPr>
              <w:t>靖州至绥宁高速</w:t>
            </w:r>
          </w:p>
        </w:tc>
        <w:tc>
          <w:tcPr>
            <w:tcW w:w="920" w:type="dxa"/>
            <w:tcBorders>
              <w:top w:val="nil"/>
              <w:left w:val="nil"/>
              <w:bottom w:val="single" w:color="auto" w:sz="4" w:space="0"/>
              <w:right w:val="single" w:color="auto" w:sz="4" w:space="0"/>
            </w:tcBorders>
            <w:shd w:val="clear" w:color="auto" w:fill="auto"/>
            <w:noWrap/>
            <w:vAlign w:val="center"/>
          </w:tcPr>
          <w:p w14:paraId="10F7DFB6">
            <w:pPr>
              <w:widowControl/>
              <w:ind w:firstLine="0" w:firstLineChars="0"/>
              <w:jc w:val="center"/>
              <w:rPr>
                <w:rFonts w:ascii="仿宋" w:hAnsi="仿宋" w:eastAsia="仿宋" w:cs="Arial"/>
                <w:kern w:val="0"/>
                <w:szCs w:val="28"/>
              </w:rPr>
            </w:pPr>
            <w:r>
              <w:rPr>
                <w:rFonts w:hint="eastAsia" w:ascii="仿宋" w:hAnsi="仿宋" w:eastAsia="仿宋" w:cs="Arial"/>
                <w:kern w:val="0"/>
                <w:szCs w:val="28"/>
              </w:rPr>
              <w:t>现状</w:t>
            </w:r>
          </w:p>
        </w:tc>
        <w:tc>
          <w:tcPr>
            <w:tcW w:w="1680" w:type="dxa"/>
            <w:tcBorders>
              <w:top w:val="nil"/>
              <w:left w:val="nil"/>
              <w:bottom w:val="single" w:color="auto" w:sz="4" w:space="0"/>
              <w:right w:val="single" w:color="auto" w:sz="4" w:space="0"/>
            </w:tcBorders>
            <w:shd w:val="clear" w:color="auto" w:fill="auto"/>
            <w:noWrap/>
            <w:vAlign w:val="center"/>
          </w:tcPr>
          <w:p w14:paraId="37F607CA">
            <w:pPr>
              <w:widowControl/>
              <w:ind w:firstLine="0" w:firstLineChars="0"/>
              <w:jc w:val="center"/>
              <w:rPr>
                <w:rFonts w:ascii="仿宋" w:hAnsi="仿宋" w:eastAsia="仿宋" w:cs="Arial"/>
                <w:kern w:val="0"/>
                <w:szCs w:val="28"/>
              </w:rPr>
            </w:pPr>
            <w:r>
              <w:rPr>
                <w:rFonts w:ascii="仿宋" w:hAnsi="仿宋" w:eastAsia="仿宋" w:cs="Arial"/>
                <w:kern w:val="0"/>
                <w:szCs w:val="28"/>
              </w:rPr>
              <w:t>1</w:t>
            </w:r>
            <w:r>
              <w:rPr>
                <w:rFonts w:hint="eastAsia" w:ascii="仿宋" w:hAnsi="仿宋" w:eastAsia="仿宋" w:cs="Arial"/>
                <w:kern w:val="0"/>
                <w:szCs w:val="28"/>
              </w:rPr>
              <w:t>3.</w:t>
            </w:r>
            <w:r>
              <w:rPr>
                <w:rFonts w:ascii="仿宋" w:hAnsi="仿宋" w:eastAsia="仿宋" w:cs="Arial"/>
                <w:kern w:val="0"/>
                <w:szCs w:val="28"/>
              </w:rPr>
              <w:t>9</w:t>
            </w:r>
          </w:p>
        </w:tc>
      </w:tr>
      <w:tr w14:paraId="7D065536">
        <w:tblPrEx>
          <w:tblCellMar>
            <w:top w:w="0" w:type="dxa"/>
            <w:left w:w="108" w:type="dxa"/>
            <w:bottom w:w="0" w:type="dxa"/>
            <w:right w:w="108" w:type="dxa"/>
          </w:tblCellMar>
        </w:tblPrEx>
        <w:trPr>
          <w:trHeight w:val="255" w:hRule="atLeast"/>
        </w:trPr>
        <w:tc>
          <w:tcPr>
            <w:tcW w:w="1480" w:type="dxa"/>
            <w:tcBorders>
              <w:top w:val="nil"/>
              <w:left w:val="single" w:color="auto" w:sz="4" w:space="0"/>
              <w:bottom w:val="single" w:color="auto" w:sz="4" w:space="0"/>
              <w:right w:val="single" w:color="auto" w:sz="4" w:space="0"/>
            </w:tcBorders>
            <w:shd w:val="clear" w:color="auto" w:fill="auto"/>
            <w:noWrap/>
            <w:vAlign w:val="center"/>
          </w:tcPr>
          <w:p w14:paraId="026E82B3">
            <w:pPr>
              <w:widowControl/>
              <w:ind w:firstLine="0" w:firstLineChars="0"/>
              <w:jc w:val="center"/>
              <w:rPr>
                <w:rFonts w:ascii="仿宋" w:hAnsi="仿宋" w:eastAsia="仿宋" w:cs="Arial"/>
                <w:kern w:val="0"/>
                <w:szCs w:val="28"/>
              </w:rPr>
            </w:pPr>
            <w:r>
              <w:rPr>
                <w:rFonts w:ascii="仿宋" w:hAnsi="仿宋" w:eastAsia="仿宋" w:cs="Arial"/>
                <w:kern w:val="0"/>
                <w:szCs w:val="28"/>
              </w:rPr>
              <w:t>2</w:t>
            </w:r>
          </w:p>
        </w:tc>
        <w:tc>
          <w:tcPr>
            <w:tcW w:w="1320" w:type="dxa"/>
            <w:tcBorders>
              <w:top w:val="nil"/>
              <w:left w:val="nil"/>
              <w:bottom w:val="single" w:color="auto" w:sz="4" w:space="0"/>
              <w:right w:val="single" w:color="auto" w:sz="4" w:space="0"/>
            </w:tcBorders>
            <w:shd w:val="clear" w:color="auto" w:fill="auto"/>
            <w:noWrap/>
            <w:vAlign w:val="center"/>
          </w:tcPr>
          <w:p w14:paraId="557825D0">
            <w:pPr>
              <w:widowControl/>
              <w:ind w:firstLine="0" w:firstLineChars="0"/>
              <w:jc w:val="center"/>
              <w:rPr>
                <w:rFonts w:ascii="仿宋" w:hAnsi="仿宋" w:eastAsia="仿宋" w:cs="Arial"/>
                <w:kern w:val="0"/>
                <w:szCs w:val="28"/>
              </w:rPr>
            </w:pPr>
            <w:r>
              <w:rPr>
                <w:rFonts w:ascii="仿宋" w:hAnsi="仿宋" w:eastAsia="仿宋" w:cs="Arial"/>
                <w:kern w:val="0"/>
                <w:szCs w:val="28"/>
              </w:rPr>
              <w:t>高速</w:t>
            </w:r>
          </w:p>
        </w:tc>
        <w:tc>
          <w:tcPr>
            <w:tcW w:w="3880" w:type="dxa"/>
            <w:tcBorders>
              <w:top w:val="nil"/>
              <w:left w:val="nil"/>
              <w:bottom w:val="single" w:color="auto" w:sz="4" w:space="0"/>
              <w:right w:val="single" w:color="auto" w:sz="4" w:space="0"/>
            </w:tcBorders>
            <w:shd w:val="clear" w:color="auto" w:fill="auto"/>
            <w:noWrap/>
            <w:vAlign w:val="center"/>
          </w:tcPr>
          <w:p w14:paraId="28A1B844">
            <w:pPr>
              <w:widowControl/>
              <w:ind w:firstLine="0" w:firstLineChars="0"/>
              <w:jc w:val="center"/>
              <w:rPr>
                <w:rFonts w:ascii="仿宋" w:hAnsi="仿宋" w:eastAsia="仿宋" w:cs="Arial"/>
                <w:kern w:val="0"/>
                <w:szCs w:val="28"/>
              </w:rPr>
            </w:pPr>
            <w:r>
              <w:rPr>
                <w:rFonts w:ascii="仿宋" w:hAnsi="仿宋" w:eastAsia="仿宋" w:cs="Arial"/>
                <w:kern w:val="0"/>
                <w:szCs w:val="28"/>
              </w:rPr>
              <w:t>洞城高速</w:t>
            </w:r>
          </w:p>
        </w:tc>
        <w:tc>
          <w:tcPr>
            <w:tcW w:w="920" w:type="dxa"/>
            <w:tcBorders>
              <w:top w:val="nil"/>
              <w:left w:val="nil"/>
              <w:bottom w:val="single" w:color="auto" w:sz="4" w:space="0"/>
              <w:right w:val="single" w:color="auto" w:sz="4" w:space="0"/>
            </w:tcBorders>
            <w:shd w:val="clear" w:color="auto" w:fill="auto"/>
            <w:noWrap/>
            <w:vAlign w:val="center"/>
          </w:tcPr>
          <w:p w14:paraId="2B4CC028">
            <w:pPr>
              <w:widowControl/>
              <w:ind w:firstLine="0" w:firstLineChars="0"/>
              <w:jc w:val="center"/>
              <w:rPr>
                <w:rFonts w:ascii="仿宋" w:hAnsi="仿宋" w:eastAsia="仿宋" w:cs="Arial"/>
                <w:kern w:val="0"/>
                <w:szCs w:val="28"/>
              </w:rPr>
            </w:pPr>
            <w:r>
              <w:rPr>
                <w:rFonts w:hint="eastAsia" w:ascii="仿宋" w:hAnsi="仿宋" w:eastAsia="仿宋" w:cs="Arial"/>
                <w:kern w:val="0"/>
                <w:szCs w:val="28"/>
              </w:rPr>
              <w:t>现状</w:t>
            </w:r>
          </w:p>
        </w:tc>
        <w:tc>
          <w:tcPr>
            <w:tcW w:w="1680" w:type="dxa"/>
            <w:tcBorders>
              <w:top w:val="nil"/>
              <w:left w:val="nil"/>
              <w:bottom w:val="single" w:color="auto" w:sz="4" w:space="0"/>
              <w:right w:val="single" w:color="auto" w:sz="4" w:space="0"/>
            </w:tcBorders>
            <w:shd w:val="clear" w:color="auto" w:fill="auto"/>
            <w:noWrap/>
            <w:vAlign w:val="center"/>
          </w:tcPr>
          <w:p w14:paraId="418D8A45">
            <w:pPr>
              <w:widowControl/>
              <w:ind w:firstLine="0" w:firstLineChars="0"/>
              <w:jc w:val="center"/>
              <w:rPr>
                <w:rFonts w:ascii="仿宋" w:hAnsi="仿宋" w:eastAsia="仿宋" w:cs="Arial"/>
                <w:kern w:val="0"/>
                <w:szCs w:val="28"/>
              </w:rPr>
            </w:pPr>
            <w:r>
              <w:rPr>
                <w:rFonts w:ascii="仿宋" w:hAnsi="仿宋" w:eastAsia="仿宋" w:cs="Arial"/>
                <w:kern w:val="0"/>
                <w:szCs w:val="28"/>
              </w:rPr>
              <w:t>72</w:t>
            </w:r>
            <w:r>
              <w:rPr>
                <w:rFonts w:hint="eastAsia" w:ascii="仿宋" w:hAnsi="仿宋" w:eastAsia="仿宋" w:cs="Arial"/>
                <w:kern w:val="0"/>
                <w:szCs w:val="28"/>
              </w:rPr>
              <w:t>.</w:t>
            </w:r>
            <w:r>
              <w:rPr>
                <w:rFonts w:ascii="仿宋" w:hAnsi="仿宋" w:eastAsia="仿宋" w:cs="Arial"/>
                <w:kern w:val="0"/>
                <w:szCs w:val="28"/>
              </w:rPr>
              <w:t>3</w:t>
            </w:r>
          </w:p>
        </w:tc>
      </w:tr>
      <w:tr w14:paraId="05743A37">
        <w:tblPrEx>
          <w:tblCellMar>
            <w:top w:w="0" w:type="dxa"/>
            <w:left w:w="108" w:type="dxa"/>
            <w:bottom w:w="0" w:type="dxa"/>
            <w:right w:w="108" w:type="dxa"/>
          </w:tblCellMar>
        </w:tblPrEx>
        <w:trPr>
          <w:trHeight w:val="255" w:hRule="atLeast"/>
        </w:trPr>
        <w:tc>
          <w:tcPr>
            <w:tcW w:w="1480" w:type="dxa"/>
            <w:tcBorders>
              <w:top w:val="nil"/>
              <w:left w:val="single" w:color="auto" w:sz="4" w:space="0"/>
              <w:bottom w:val="single" w:color="auto" w:sz="4" w:space="0"/>
              <w:right w:val="single" w:color="auto" w:sz="4" w:space="0"/>
            </w:tcBorders>
            <w:shd w:val="clear" w:color="auto" w:fill="auto"/>
            <w:noWrap/>
            <w:vAlign w:val="center"/>
          </w:tcPr>
          <w:p w14:paraId="21B351C3">
            <w:pPr>
              <w:widowControl/>
              <w:ind w:firstLine="0" w:firstLineChars="0"/>
              <w:jc w:val="center"/>
              <w:rPr>
                <w:rFonts w:ascii="仿宋" w:hAnsi="仿宋" w:eastAsia="仿宋" w:cs="Arial"/>
                <w:kern w:val="0"/>
                <w:szCs w:val="28"/>
              </w:rPr>
            </w:pPr>
            <w:r>
              <w:rPr>
                <w:rFonts w:ascii="仿宋" w:hAnsi="仿宋" w:eastAsia="仿宋" w:cs="Arial"/>
                <w:kern w:val="0"/>
                <w:szCs w:val="28"/>
              </w:rPr>
              <w:t>3</w:t>
            </w:r>
          </w:p>
        </w:tc>
        <w:tc>
          <w:tcPr>
            <w:tcW w:w="1320" w:type="dxa"/>
            <w:tcBorders>
              <w:top w:val="nil"/>
              <w:left w:val="nil"/>
              <w:bottom w:val="single" w:color="auto" w:sz="4" w:space="0"/>
              <w:right w:val="single" w:color="auto" w:sz="4" w:space="0"/>
            </w:tcBorders>
            <w:shd w:val="clear" w:color="auto" w:fill="auto"/>
            <w:noWrap/>
            <w:vAlign w:val="center"/>
          </w:tcPr>
          <w:p w14:paraId="1F02634F">
            <w:pPr>
              <w:widowControl/>
              <w:ind w:firstLine="0" w:firstLineChars="0"/>
              <w:jc w:val="center"/>
              <w:rPr>
                <w:rFonts w:ascii="仿宋" w:hAnsi="仿宋" w:eastAsia="仿宋" w:cs="Arial"/>
                <w:kern w:val="0"/>
                <w:szCs w:val="28"/>
              </w:rPr>
            </w:pPr>
            <w:r>
              <w:rPr>
                <w:rFonts w:ascii="仿宋" w:hAnsi="仿宋" w:eastAsia="仿宋" w:cs="Arial"/>
                <w:kern w:val="0"/>
                <w:szCs w:val="28"/>
              </w:rPr>
              <w:t>高速</w:t>
            </w:r>
          </w:p>
        </w:tc>
        <w:tc>
          <w:tcPr>
            <w:tcW w:w="3880" w:type="dxa"/>
            <w:tcBorders>
              <w:top w:val="nil"/>
              <w:left w:val="nil"/>
              <w:bottom w:val="single" w:color="auto" w:sz="4" w:space="0"/>
              <w:right w:val="single" w:color="auto" w:sz="4" w:space="0"/>
            </w:tcBorders>
            <w:shd w:val="clear" w:color="auto" w:fill="auto"/>
            <w:noWrap/>
            <w:vAlign w:val="center"/>
          </w:tcPr>
          <w:p w14:paraId="6F2C2B9C">
            <w:pPr>
              <w:widowControl/>
              <w:ind w:firstLine="0" w:firstLineChars="0"/>
              <w:jc w:val="center"/>
              <w:rPr>
                <w:rFonts w:ascii="仿宋" w:hAnsi="仿宋" w:eastAsia="仿宋" w:cs="Arial"/>
                <w:kern w:val="0"/>
                <w:szCs w:val="28"/>
              </w:rPr>
            </w:pPr>
            <w:r>
              <w:rPr>
                <w:rFonts w:ascii="仿宋" w:hAnsi="仿宋" w:eastAsia="仿宋" w:cs="Arial"/>
                <w:kern w:val="0"/>
                <w:szCs w:val="28"/>
              </w:rPr>
              <w:t>城步至龙胜（湘桂界）高速</w:t>
            </w:r>
          </w:p>
        </w:tc>
        <w:tc>
          <w:tcPr>
            <w:tcW w:w="920" w:type="dxa"/>
            <w:tcBorders>
              <w:top w:val="nil"/>
              <w:left w:val="nil"/>
              <w:bottom w:val="single" w:color="auto" w:sz="4" w:space="0"/>
              <w:right w:val="single" w:color="auto" w:sz="4" w:space="0"/>
            </w:tcBorders>
            <w:shd w:val="clear" w:color="auto" w:fill="auto"/>
            <w:noWrap/>
            <w:vAlign w:val="center"/>
          </w:tcPr>
          <w:p w14:paraId="158C13EC">
            <w:pPr>
              <w:widowControl/>
              <w:ind w:firstLine="0" w:firstLineChars="0"/>
              <w:jc w:val="center"/>
              <w:rPr>
                <w:rFonts w:ascii="仿宋" w:hAnsi="仿宋" w:eastAsia="仿宋" w:cs="Arial"/>
                <w:kern w:val="0"/>
                <w:szCs w:val="28"/>
              </w:rPr>
            </w:pPr>
            <w:r>
              <w:rPr>
                <w:rFonts w:hint="eastAsia" w:ascii="仿宋" w:hAnsi="仿宋" w:eastAsia="仿宋" w:cs="Arial"/>
                <w:kern w:val="0"/>
                <w:szCs w:val="28"/>
              </w:rPr>
              <w:t>在建</w:t>
            </w:r>
          </w:p>
        </w:tc>
        <w:tc>
          <w:tcPr>
            <w:tcW w:w="1680" w:type="dxa"/>
            <w:tcBorders>
              <w:top w:val="nil"/>
              <w:left w:val="nil"/>
              <w:bottom w:val="single" w:color="auto" w:sz="4" w:space="0"/>
              <w:right w:val="single" w:color="auto" w:sz="4" w:space="0"/>
            </w:tcBorders>
            <w:shd w:val="clear" w:color="auto" w:fill="auto"/>
            <w:noWrap/>
            <w:vAlign w:val="center"/>
          </w:tcPr>
          <w:p w14:paraId="02B1B0EB">
            <w:pPr>
              <w:widowControl/>
              <w:ind w:firstLine="0" w:firstLineChars="0"/>
              <w:jc w:val="center"/>
              <w:rPr>
                <w:rFonts w:ascii="仿宋" w:hAnsi="仿宋" w:eastAsia="仿宋" w:cs="Arial"/>
                <w:kern w:val="0"/>
                <w:szCs w:val="28"/>
              </w:rPr>
            </w:pPr>
            <w:r>
              <w:rPr>
                <w:rFonts w:ascii="仿宋" w:hAnsi="仿宋" w:eastAsia="仿宋" w:cs="Arial"/>
                <w:kern w:val="0"/>
                <w:szCs w:val="28"/>
              </w:rPr>
              <w:t>51</w:t>
            </w:r>
            <w:r>
              <w:rPr>
                <w:rFonts w:hint="eastAsia" w:ascii="仿宋" w:hAnsi="仿宋" w:eastAsia="仿宋" w:cs="Arial"/>
                <w:kern w:val="0"/>
                <w:szCs w:val="28"/>
              </w:rPr>
              <w:t>.</w:t>
            </w:r>
            <w:r>
              <w:rPr>
                <w:rFonts w:ascii="仿宋" w:hAnsi="仿宋" w:eastAsia="仿宋" w:cs="Arial"/>
                <w:kern w:val="0"/>
                <w:szCs w:val="28"/>
              </w:rPr>
              <w:t>6</w:t>
            </w:r>
          </w:p>
        </w:tc>
      </w:tr>
      <w:tr w14:paraId="79FCD00E">
        <w:tblPrEx>
          <w:tblCellMar>
            <w:top w:w="0" w:type="dxa"/>
            <w:left w:w="108" w:type="dxa"/>
            <w:bottom w:w="0" w:type="dxa"/>
            <w:right w:w="108" w:type="dxa"/>
          </w:tblCellMar>
        </w:tblPrEx>
        <w:trPr>
          <w:trHeight w:val="255" w:hRule="atLeast"/>
        </w:trPr>
        <w:tc>
          <w:tcPr>
            <w:tcW w:w="1480" w:type="dxa"/>
            <w:tcBorders>
              <w:top w:val="nil"/>
              <w:left w:val="single" w:color="auto" w:sz="4" w:space="0"/>
              <w:bottom w:val="single" w:color="auto" w:sz="4" w:space="0"/>
              <w:right w:val="single" w:color="auto" w:sz="4" w:space="0"/>
            </w:tcBorders>
            <w:shd w:val="clear" w:color="auto" w:fill="auto"/>
            <w:noWrap/>
            <w:vAlign w:val="center"/>
          </w:tcPr>
          <w:p w14:paraId="76FC9297">
            <w:pPr>
              <w:widowControl/>
              <w:ind w:firstLine="0" w:firstLineChars="0"/>
              <w:jc w:val="center"/>
              <w:rPr>
                <w:rFonts w:ascii="仿宋" w:hAnsi="仿宋" w:eastAsia="仿宋" w:cs="Arial"/>
                <w:kern w:val="0"/>
                <w:szCs w:val="28"/>
              </w:rPr>
            </w:pPr>
            <w:r>
              <w:rPr>
                <w:rFonts w:ascii="仿宋" w:hAnsi="仿宋" w:eastAsia="仿宋" w:cs="Arial"/>
                <w:kern w:val="0"/>
                <w:szCs w:val="28"/>
              </w:rPr>
              <w:t>4</w:t>
            </w:r>
          </w:p>
        </w:tc>
        <w:tc>
          <w:tcPr>
            <w:tcW w:w="1320" w:type="dxa"/>
            <w:tcBorders>
              <w:top w:val="nil"/>
              <w:left w:val="nil"/>
              <w:bottom w:val="single" w:color="auto" w:sz="4" w:space="0"/>
              <w:right w:val="single" w:color="auto" w:sz="4" w:space="0"/>
            </w:tcBorders>
            <w:shd w:val="clear" w:color="auto" w:fill="auto"/>
            <w:noWrap/>
            <w:vAlign w:val="center"/>
          </w:tcPr>
          <w:p w14:paraId="71134F0F">
            <w:pPr>
              <w:widowControl/>
              <w:ind w:firstLine="0" w:firstLineChars="0"/>
              <w:jc w:val="center"/>
              <w:rPr>
                <w:rFonts w:ascii="仿宋" w:hAnsi="仿宋" w:eastAsia="仿宋" w:cs="Arial"/>
                <w:kern w:val="0"/>
                <w:szCs w:val="28"/>
              </w:rPr>
            </w:pPr>
            <w:r>
              <w:rPr>
                <w:rFonts w:ascii="仿宋" w:hAnsi="仿宋" w:eastAsia="仿宋" w:cs="Arial"/>
                <w:kern w:val="0"/>
                <w:szCs w:val="28"/>
              </w:rPr>
              <w:t>国道</w:t>
            </w:r>
          </w:p>
        </w:tc>
        <w:tc>
          <w:tcPr>
            <w:tcW w:w="3880" w:type="dxa"/>
            <w:tcBorders>
              <w:top w:val="nil"/>
              <w:left w:val="nil"/>
              <w:bottom w:val="single" w:color="auto" w:sz="4" w:space="0"/>
              <w:right w:val="single" w:color="auto" w:sz="4" w:space="0"/>
            </w:tcBorders>
            <w:shd w:val="clear" w:color="auto" w:fill="auto"/>
            <w:noWrap/>
            <w:vAlign w:val="center"/>
          </w:tcPr>
          <w:p w14:paraId="22B63FA2">
            <w:pPr>
              <w:widowControl/>
              <w:ind w:firstLine="0" w:firstLineChars="0"/>
              <w:jc w:val="center"/>
              <w:rPr>
                <w:rFonts w:ascii="仿宋" w:hAnsi="仿宋" w:eastAsia="仿宋" w:cs="Arial"/>
                <w:kern w:val="0"/>
                <w:szCs w:val="28"/>
              </w:rPr>
            </w:pPr>
            <w:r>
              <w:rPr>
                <w:rFonts w:ascii="仿宋" w:hAnsi="仿宋" w:eastAsia="仿宋" w:cs="Arial"/>
                <w:kern w:val="0"/>
                <w:szCs w:val="28"/>
              </w:rPr>
              <w:t>G356</w:t>
            </w:r>
          </w:p>
        </w:tc>
        <w:tc>
          <w:tcPr>
            <w:tcW w:w="920" w:type="dxa"/>
            <w:tcBorders>
              <w:top w:val="nil"/>
              <w:left w:val="nil"/>
              <w:bottom w:val="single" w:color="auto" w:sz="4" w:space="0"/>
              <w:right w:val="single" w:color="auto" w:sz="4" w:space="0"/>
            </w:tcBorders>
            <w:shd w:val="clear" w:color="auto" w:fill="auto"/>
            <w:noWrap/>
            <w:vAlign w:val="center"/>
          </w:tcPr>
          <w:p w14:paraId="1EBA5639">
            <w:pPr>
              <w:widowControl/>
              <w:ind w:firstLine="0" w:firstLineChars="0"/>
              <w:jc w:val="center"/>
              <w:rPr>
                <w:rFonts w:ascii="仿宋" w:hAnsi="仿宋" w:eastAsia="仿宋" w:cs="Arial"/>
                <w:kern w:val="0"/>
                <w:szCs w:val="28"/>
              </w:rPr>
            </w:pPr>
            <w:r>
              <w:rPr>
                <w:rFonts w:hint="eastAsia" w:ascii="仿宋" w:hAnsi="仿宋" w:eastAsia="仿宋" w:cs="Arial"/>
                <w:kern w:val="0"/>
                <w:szCs w:val="28"/>
              </w:rPr>
              <w:t>现状</w:t>
            </w:r>
          </w:p>
        </w:tc>
        <w:tc>
          <w:tcPr>
            <w:tcW w:w="1680" w:type="dxa"/>
            <w:tcBorders>
              <w:top w:val="nil"/>
              <w:left w:val="nil"/>
              <w:bottom w:val="single" w:color="auto" w:sz="4" w:space="0"/>
              <w:right w:val="single" w:color="auto" w:sz="4" w:space="0"/>
            </w:tcBorders>
            <w:shd w:val="clear" w:color="auto" w:fill="auto"/>
            <w:noWrap/>
            <w:vAlign w:val="center"/>
          </w:tcPr>
          <w:p w14:paraId="329CF0E1">
            <w:pPr>
              <w:widowControl/>
              <w:ind w:firstLine="0" w:firstLineChars="0"/>
              <w:jc w:val="center"/>
              <w:rPr>
                <w:rFonts w:ascii="仿宋" w:hAnsi="仿宋" w:eastAsia="仿宋" w:cs="Arial"/>
                <w:kern w:val="0"/>
                <w:szCs w:val="28"/>
              </w:rPr>
            </w:pPr>
            <w:r>
              <w:rPr>
                <w:rFonts w:ascii="仿宋" w:hAnsi="仿宋" w:eastAsia="仿宋" w:cs="Arial"/>
                <w:kern w:val="0"/>
                <w:szCs w:val="28"/>
              </w:rPr>
              <w:t>31.3</w:t>
            </w:r>
          </w:p>
        </w:tc>
      </w:tr>
      <w:tr w14:paraId="3A34CA1A">
        <w:tblPrEx>
          <w:tblCellMar>
            <w:top w:w="0" w:type="dxa"/>
            <w:left w:w="108" w:type="dxa"/>
            <w:bottom w:w="0" w:type="dxa"/>
            <w:right w:w="108" w:type="dxa"/>
          </w:tblCellMar>
        </w:tblPrEx>
        <w:trPr>
          <w:trHeight w:val="255" w:hRule="atLeast"/>
        </w:trPr>
        <w:tc>
          <w:tcPr>
            <w:tcW w:w="1480" w:type="dxa"/>
            <w:tcBorders>
              <w:top w:val="nil"/>
              <w:left w:val="single" w:color="auto" w:sz="4" w:space="0"/>
              <w:bottom w:val="single" w:color="auto" w:sz="4" w:space="0"/>
              <w:right w:val="single" w:color="auto" w:sz="4" w:space="0"/>
            </w:tcBorders>
            <w:shd w:val="clear" w:color="auto" w:fill="auto"/>
            <w:noWrap/>
            <w:vAlign w:val="center"/>
          </w:tcPr>
          <w:p w14:paraId="0F348C2F">
            <w:pPr>
              <w:widowControl/>
              <w:ind w:firstLine="0" w:firstLineChars="0"/>
              <w:jc w:val="center"/>
              <w:rPr>
                <w:rFonts w:ascii="仿宋" w:hAnsi="仿宋" w:eastAsia="仿宋" w:cs="Arial"/>
                <w:kern w:val="0"/>
                <w:szCs w:val="28"/>
              </w:rPr>
            </w:pPr>
            <w:r>
              <w:rPr>
                <w:rFonts w:ascii="仿宋" w:hAnsi="仿宋" w:eastAsia="仿宋" w:cs="Arial"/>
                <w:kern w:val="0"/>
                <w:szCs w:val="28"/>
              </w:rPr>
              <w:t>5</w:t>
            </w:r>
          </w:p>
        </w:tc>
        <w:tc>
          <w:tcPr>
            <w:tcW w:w="1320" w:type="dxa"/>
            <w:tcBorders>
              <w:top w:val="nil"/>
              <w:left w:val="nil"/>
              <w:bottom w:val="single" w:color="auto" w:sz="4" w:space="0"/>
              <w:right w:val="single" w:color="auto" w:sz="4" w:space="0"/>
            </w:tcBorders>
            <w:shd w:val="clear" w:color="auto" w:fill="auto"/>
            <w:noWrap/>
            <w:vAlign w:val="center"/>
          </w:tcPr>
          <w:p w14:paraId="38FD1096">
            <w:pPr>
              <w:widowControl/>
              <w:ind w:firstLine="0" w:firstLineChars="0"/>
              <w:jc w:val="center"/>
              <w:rPr>
                <w:rFonts w:ascii="仿宋" w:hAnsi="仿宋" w:eastAsia="仿宋" w:cs="Arial"/>
                <w:kern w:val="0"/>
                <w:szCs w:val="28"/>
              </w:rPr>
            </w:pPr>
            <w:r>
              <w:rPr>
                <w:rFonts w:ascii="仿宋" w:hAnsi="仿宋" w:eastAsia="仿宋" w:cs="Arial"/>
                <w:kern w:val="0"/>
                <w:szCs w:val="28"/>
              </w:rPr>
              <w:t>省道</w:t>
            </w:r>
          </w:p>
        </w:tc>
        <w:tc>
          <w:tcPr>
            <w:tcW w:w="3880" w:type="dxa"/>
            <w:tcBorders>
              <w:top w:val="nil"/>
              <w:left w:val="nil"/>
              <w:bottom w:val="single" w:color="auto" w:sz="4" w:space="0"/>
              <w:right w:val="single" w:color="auto" w:sz="4" w:space="0"/>
            </w:tcBorders>
            <w:shd w:val="clear" w:color="auto" w:fill="auto"/>
            <w:noWrap/>
            <w:vAlign w:val="center"/>
          </w:tcPr>
          <w:p w14:paraId="6BFA7D28">
            <w:pPr>
              <w:widowControl/>
              <w:ind w:firstLine="0" w:firstLineChars="0"/>
              <w:jc w:val="center"/>
              <w:rPr>
                <w:rFonts w:ascii="仿宋" w:hAnsi="仿宋" w:eastAsia="仿宋" w:cs="Arial"/>
                <w:kern w:val="0"/>
                <w:szCs w:val="28"/>
              </w:rPr>
            </w:pPr>
            <w:r>
              <w:rPr>
                <w:rFonts w:ascii="仿宋" w:hAnsi="仿宋" w:eastAsia="仿宋" w:cs="Arial"/>
                <w:kern w:val="0"/>
                <w:szCs w:val="28"/>
              </w:rPr>
              <w:t>S248</w:t>
            </w:r>
          </w:p>
        </w:tc>
        <w:tc>
          <w:tcPr>
            <w:tcW w:w="920" w:type="dxa"/>
            <w:tcBorders>
              <w:top w:val="nil"/>
              <w:left w:val="nil"/>
              <w:bottom w:val="single" w:color="auto" w:sz="4" w:space="0"/>
              <w:right w:val="single" w:color="auto" w:sz="4" w:space="0"/>
            </w:tcBorders>
            <w:shd w:val="clear" w:color="auto" w:fill="auto"/>
            <w:noWrap/>
            <w:vAlign w:val="center"/>
          </w:tcPr>
          <w:p w14:paraId="68560FFA">
            <w:pPr>
              <w:widowControl/>
              <w:ind w:firstLine="0" w:firstLineChars="0"/>
              <w:jc w:val="center"/>
              <w:rPr>
                <w:rFonts w:ascii="仿宋" w:hAnsi="仿宋" w:eastAsia="仿宋" w:cs="Arial"/>
                <w:kern w:val="0"/>
                <w:szCs w:val="28"/>
              </w:rPr>
            </w:pPr>
            <w:r>
              <w:rPr>
                <w:rFonts w:hint="eastAsia" w:ascii="仿宋" w:hAnsi="仿宋" w:eastAsia="仿宋" w:cs="Arial"/>
                <w:kern w:val="0"/>
                <w:szCs w:val="28"/>
              </w:rPr>
              <w:t>现状</w:t>
            </w:r>
          </w:p>
        </w:tc>
        <w:tc>
          <w:tcPr>
            <w:tcW w:w="1680" w:type="dxa"/>
            <w:tcBorders>
              <w:top w:val="nil"/>
              <w:left w:val="nil"/>
              <w:bottom w:val="single" w:color="auto" w:sz="4" w:space="0"/>
              <w:right w:val="single" w:color="auto" w:sz="4" w:space="0"/>
            </w:tcBorders>
            <w:shd w:val="clear" w:color="auto" w:fill="auto"/>
            <w:noWrap/>
            <w:vAlign w:val="center"/>
          </w:tcPr>
          <w:p w14:paraId="7384A7A4">
            <w:pPr>
              <w:widowControl/>
              <w:ind w:firstLine="0" w:firstLineChars="0"/>
              <w:jc w:val="center"/>
              <w:rPr>
                <w:rFonts w:ascii="仿宋" w:hAnsi="仿宋" w:eastAsia="仿宋" w:cs="Arial"/>
                <w:kern w:val="0"/>
                <w:szCs w:val="28"/>
              </w:rPr>
            </w:pPr>
            <w:r>
              <w:rPr>
                <w:rFonts w:ascii="仿宋" w:hAnsi="仿宋" w:eastAsia="仿宋" w:cs="Arial"/>
                <w:kern w:val="0"/>
                <w:szCs w:val="28"/>
              </w:rPr>
              <w:t>66.6</w:t>
            </w:r>
          </w:p>
        </w:tc>
      </w:tr>
      <w:tr w14:paraId="54A9FE96">
        <w:tblPrEx>
          <w:tblCellMar>
            <w:top w:w="0" w:type="dxa"/>
            <w:left w:w="108" w:type="dxa"/>
            <w:bottom w:w="0" w:type="dxa"/>
            <w:right w:w="108" w:type="dxa"/>
          </w:tblCellMar>
        </w:tblPrEx>
        <w:trPr>
          <w:trHeight w:val="255" w:hRule="atLeast"/>
        </w:trPr>
        <w:tc>
          <w:tcPr>
            <w:tcW w:w="1480" w:type="dxa"/>
            <w:tcBorders>
              <w:top w:val="nil"/>
              <w:left w:val="single" w:color="auto" w:sz="4" w:space="0"/>
              <w:bottom w:val="single" w:color="auto" w:sz="4" w:space="0"/>
              <w:right w:val="single" w:color="auto" w:sz="4" w:space="0"/>
            </w:tcBorders>
            <w:shd w:val="clear" w:color="auto" w:fill="auto"/>
            <w:noWrap/>
            <w:vAlign w:val="center"/>
          </w:tcPr>
          <w:p w14:paraId="01E01B75">
            <w:pPr>
              <w:widowControl/>
              <w:ind w:firstLine="0" w:firstLineChars="0"/>
              <w:jc w:val="center"/>
              <w:rPr>
                <w:rFonts w:ascii="仿宋" w:hAnsi="仿宋" w:eastAsia="仿宋" w:cs="Arial"/>
                <w:kern w:val="0"/>
                <w:szCs w:val="28"/>
              </w:rPr>
            </w:pPr>
            <w:r>
              <w:rPr>
                <w:rFonts w:ascii="仿宋" w:hAnsi="仿宋" w:eastAsia="仿宋" w:cs="Arial"/>
                <w:kern w:val="0"/>
                <w:szCs w:val="28"/>
              </w:rPr>
              <w:t>6</w:t>
            </w:r>
          </w:p>
        </w:tc>
        <w:tc>
          <w:tcPr>
            <w:tcW w:w="1320" w:type="dxa"/>
            <w:tcBorders>
              <w:top w:val="nil"/>
              <w:left w:val="nil"/>
              <w:bottom w:val="single" w:color="auto" w:sz="4" w:space="0"/>
              <w:right w:val="single" w:color="auto" w:sz="4" w:space="0"/>
            </w:tcBorders>
            <w:shd w:val="clear" w:color="auto" w:fill="auto"/>
            <w:noWrap/>
            <w:vAlign w:val="center"/>
          </w:tcPr>
          <w:p w14:paraId="73DD4726">
            <w:pPr>
              <w:widowControl/>
              <w:ind w:firstLine="0" w:firstLineChars="0"/>
              <w:jc w:val="center"/>
              <w:rPr>
                <w:rFonts w:ascii="仿宋" w:hAnsi="仿宋" w:eastAsia="仿宋" w:cs="Arial"/>
                <w:kern w:val="0"/>
                <w:szCs w:val="28"/>
              </w:rPr>
            </w:pPr>
            <w:r>
              <w:rPr>
                <w:rFonts w:ascii="仿宋" w:hAnsi="仿宋" w:eastAsia="仿宋" w:cs="Arial"/>
                <w:kern w:val="0"/>
                <w:szCs w:val="28"/>
              </w:rPr>
              <w:t>省道</w:t>
            </w:r>
          </w:p>
        </w:tc>
        <w:tc>
          <w:tcPr>
            <w:tcW w:w="3880" w:type="dxa"/>
            <w:tcBorders>
              <w:top w:val="nil"/>
              <w:left w:val="nil"/>
              <w:bottom w:val="single" w:color="auto" w:sz="4" w:space="0"/>
              <w:right w:val="single" w:color="auto" w:sz="4" w:space="0"/>
            </w:tcBorders>
            <w:shd w:val="clear" w:color="auto" w:fill="auto"/>
            <w:noWrap/>
            <w:vAlign w:val="center"/>
          </w:tcPr>
          <w:p w14:paraId="0C59CE6B">
            <w:pPr>
              <w:widowControl/>
              <w:ind w:firstLine="0" w:firstLineChars="0"/>
              <w:jc w:val="center"/>
              <w:rPr>
                <w:rFonts w:ascii="仿宋" w:hAnsi="仿宋" w:eastAsia="仿宋" w:cs="Arial"/>
                <w:kern w:val="0"/>
                <w:szCs w:val="28"/>
              </w:rPr>
            </w:pPr>
            <w:r>
              <w:rPr>
                <w:rFonts w:ascii="仿宋" w:hAnsi="仿宋" w:eastAsia="仿宋" w:cs="Arial"/>
                <w:kern w:val="0"/>
                <w:szCs w:val="28"/>
              </w:rPr>
              <w:t>S251</w:t>
            </w:r>
          </w:p>
        </w:tc>
        <w:tc>
          <w:tcPr>
            <w:tcW w:w="920" w:type="dxa"/>
            <w:tcBorders>
              <w:top w:val="nil"/>
              <w:left w:val="nil"/>
              <w:bottom w:val="single" w:color="auto" w:sz="4" w:space="0"/>
              <w:right w:val="single" w:color="auto" w:sz="4" w:space="0"/>
            </w:tcBorders>
            <w:shd w:val="clear" w:color="auto" w:fill="auto"/>
            <w:noWrap/>
            <w:vAlign w:val="center"/>
          </w:tcPr>
          <w:p w14:paraId="3A62801C">
            <w:pPr>
              <w:widowControl/>
              <w:ind w:firstLine="0" w:firstLineChars="0"/>
              <w:jc w:val="center"/>
              <w:rPr>
                <w:rFonts w:ascii="仿宋" w:hAnsi="仿宋" w:eastAsia="仿宋" w:cs="Arial"/>
                <w:kern w:val="0"/>
                <w:szCs w:val="28"/>
              </w:rPr>
            </w:pPr>
            <w:r>
              <w:rPr>
                <w:rFonts w:hint="eastAsia" w:ascii="仿宋" w:hAnsi="仿宋" w:eastAsia="仿宋" w:cs="Arial"/>
                <w:kern w:val="0"/>
                <w:szCs w:val="28"/>
              </w:rPr>
              <w:t>现状</w:t>
            </w:r>
          </w:p>
        </w:tc>
        <w:tc>
          <w:tcPr>
            <w:tcW w:w="1680" w:type="dxa"/>
            <w:tcBorders>
              <w:top w:val="nil"/>
              <w:left w:val="nil"/>
              <w:bottom w:val="single" w:color="auto" w:sz="4" w:space="0"/>
              <w:right w:val="single" w:color="auto" w:sz="4" w:space="0"/>
            </w:tcBorders>
            <w:shd w:val="clear" w:color="auto" w:fill="auto"/>
            <w:noWrap/>
            <w:vAlign w:val="center"/>
          </w:tcPr>
          <w:p w14:paraId="087FDE93">
            <w:pPr>
              <w:widowControl/>
              <w:ind w:firstLine="0" w:firstLineChars="0"/>
              <w:jc w:val="center"/>
              <w:rPr>
                <w:rFonts w:ascii="仿宋" w:hAnsi="仿宋" w:eastAsia="仿宋" w:cs="Arial"/>
                <w:kern w:val="0"/>
                <w:szCs w:val="28"/>
              </w:rPr>
            </w:pPr>
            <w:r>
              <w:rPr>
                <w:rFonts w:ascii="仿宋" w:hAnsi="仿宋" w:eastAsia="仿宋" w:cs="Arial"/>
                <w:kern w:val="0"/>
                <w:szCs w:val="28"/>
              </w:rPr>
              <w:t>133.4</w:t>
            </w:r>
          </w:p>
        </w:tc>
      </w:tr>
      <w:tr w14:paraId="727B260C">
        <w:tblPrEx>
          <w:tblCellMar>
            <w:top w:w="0" w:type="dxa"/>
            <w:left w:w="108" w:type="dxa"/>
            <w:bottom w:w="0" w:type="dxa"/>
            <w:right w:w="108" w:type="dxa"/>
          </w:tblCellMar>
        </w:tblPrEx>
        <w:trPr>
          <w:trHeight w:val="255" w:hRule="atLeast"/>
        </w:trPr>
        <w:tc>
          <w:tcPr>
            <w:tcW w:w="1480" w:type="dxa"/>
            <w:tcBorders>
              <w:top w:val="nil"/>
              <w:left w:val="single" w:color="auto" w:sz="4" w:space="0"/>
              <w:bottom w:val="single" w:color="auto" w:sz="4" w:space="0"/>
              <w:right w:val="single" w:color="auto" w:sz="4" w:space="0"/>
            </w:tcBorders>
            <w:shd w:val="clear" w:color="auto" w:fill="auto"/>
            <w:noWrap/>
            <w:vAlign w:val="center"/>
          </w:tcPr>
          <w:p w14:paraId="08F27D3A">
            <w:pPr>
              <w:widowControl/>
              <w:ind w:firstLine="0" w:firstLineChars="0"/>
              <w:jc w:val="center"/>
              <w:rPr>
                <w:rFonts w:ascii="仿宋" w:hAnsi="仿宋" w:eastAsia="仿宋" w:cs="Arial"/>
                <w:kern w:val="0"/>
                <w:szCs w:val="28"/>
              </w:rPr>
            </w:pPr>
            <w:r>
              <w:rPr>
                <w:rFonts w:ascii="仿宋" w:hAnsi="仿宋" w:eastAsia="仿宋" w:cs="Arial"/>
                <w:kern w:val="0"/>
                <w:szCs w:val="28"/>
              </w:rPr>
              <w:t>7</w:t>
            </w:r>
          </w:p>
        </w:tc>
        <w:tc>
          <w:tcPr>
            <w:tcW w:w="1320" w:type="dxa"/>
            <w:tcBorders>
              <w:top w:val="nil"/>
              <w:left w:val="nil"/>
              <w:bottom w:val="single" w:color="auto" w:sz="4" w:space="0"/>
              <w:right w:val="single" w:color="auto" w:sz="4" w:space="0"/>
            </w:tcBorders>
            <w:shd w:val="clear" w:color="auto" w:fill="auto"/>
            <w:noWrap/>
            <w:vAlign w:val="center"/>
          </w:tcPr>
          <w:p w14:paraId="3658546B">
            <w:pPr>
              <w:widowControl/>
              <w:ind w:firstLine="0" w:firstLineChars="0"/>
              <w:jc w:val="center"/>
              <w:rPr>
                <w:rFonts w:ascii="仿宋" w:hAnsi="仿宋" w:eastAsia="仿宋" w:cs="Arial"/>
                <w:kern w:val="0"/>
                <w:szCs w:val="28"/>
              </w:rPr>
            </w:pPr>
            <w:r>
              <w:rPr>
                <w:rFonts w:ascii="仿宋" w:hAnsi="仿宋" w:eastAsia="仿宋" w:cs="Arial"/>
                <w:kern w:val="0"/>
                <w:szCs w:val="28"/>
              </w:rPr>
              <w:t>省道</w:t>
            </w:r>
          </w:p>
        </w:tc>
        <w:tc>
          <w:tcPr>
            <w:tcW w:w="3880" w:type="dxa"/>
            <w:tcBorders>
              <w:top w:val="nil"/>
              <w:left w:val="nil"/>
              <w:bottom w:val="single" w:color="auto" w:sz="4" w:space="0"/>
              <w:right w:val="single" w:color="auto" w:sz="4" w:space="0"/>
            </w:tcBorders>
            <w:shd w:val="clear" w:color="auto" w:fill="auto"/>
            <w:noWrap/>
            <w:vAlign w:val="center"/>
          </w:tcPr>
          <w:p w14:paraId="34FBC220">
            <w:pPr>
              <w:widowControl/>
              <w:ind w:firstLine="0" w:firstLineChars="0"/>
              <w:jc w:val="center"/>
              <w:rPr>
                <w:rFonts w:ascii="仿宋" w:hAnsi="仿宋" w:eastAsia="仿宋" w:cs="Arial"/>
                <w:kern w:val="0"/>
                <w:szCs w:val="28"/>
              </w:rPr>
            </w:pPr>
            <w:r>
              <w:rPr>
                <w:rFonts w:ascii="仿宋" w:hAnsi="仿宋" w:eastAsia="仿宋" w:cs="Arial"/>
                <w:kern w:val="0"/>
                <w:szCs w:val="28"/>
              </w:rPr>
              <w:t>S341</w:t>
            </w:r>
          </w:p>
        </w:tc>
        <w:tc>
          <w:tcPr>
            <w:tcW w:w="920" w:type="dxa"/>
            <w:tcBorders>
              <w:top w:val="nil"/>
              <w:left w:val="nil"/>
              <w:bottom w:val="single" w:color="auto" w:sz="4" w:space="0"/>
              <w:right w:val="single" w:color="auto" w:sz="4" w:space="0"/>
            </w:tcBorders>
            <w:shd w:val="clear" w:color="auto" w:fill="auto"/>
            <w:noWrap/>
            <w:vAlign w:val="center"/>
          </w:tcPr>
          <w:p w14:paraId="2A0B609C">
            <w:pPr>
              <w:widowControl/>
              <w:ind w:firstLine="0" w:firstLineChars="0"/>
              <w:jc w:val="center"/>
              <w:rPr>
                <w:rFonts w:ascii="仿宋" w:hAnsi="仿宋" w:eastAsia="仿宋" w:cs="Arial"/>
                <w:kern w:val="0"/>
                <w:szCs w:val="28"/>
              </w:rPr>
            </w:pPr>
            <w:r>
              <w:rPr>
                <w:rFonts w:hint="eastAsia" w:ascii="仿宋" w:hAnsi="仿宋" w:eastAsia="仿宋" w:cs="Arial"/>
                <w:kern w:val="0"/>
                <w:szCs w:val="28"/>
              </w:rPr>
              <w:t>现状</w:t>
            </w:r>
          </w:p>
        </w:tc>
        <w:tc>
          <w:tcPr>
            <w:tcW w:w="1680" w:type="dxa"/>
            <w:tcBorders>
              <w:top w:val="nil"/>
              <w:left w:val="nil"/>
              <w:bottom w:val="single" w:color="auto" w:sz="4" w:space="0"/>
              <w:right w:val="single" w:color="auto" w:sz="4" w:space="0"/>
            </w:tcBorders>
            <w:shd w:val="clear" w:color="auto" w:fill="auto"/>
            <w:noWrap/>
            <w:vAlign w:val="center"/>
          </w:tcPr>
          <w:p w14:paraId="437C07D7">
            <w:pPr>
              <w:widowControl/>
              <w:ind w:firstLine="0" w:firstLineChars="0"/>
              <w:jc w:val="center"/>
              <w:rPr>
                <w:rFonts w:ascii="仿宋" w:hAnsi="仿宋" w:eastAsia="仿宋" w:cs="Arial"/>
                <w:kern w:val="0"/>
                <w:szCs w:val="28"/>
              </w:rPr>
            </w:pPr>
            <w:r>
              <w:rPr>
                <w:rFonts w:ascii="仿宋" w:hAnsi="仿宋" w:eastAsia="仿宋" w:cs="Arial"/>
                <w:kern w:val="0"/>
                <w:szCs w:val="28"/>
              </w:rPr>
              <w:t>147.7</w:t>
            </w:r>
          </w:p>
        </w:tc>
      </w:tr>
      <w:tr w14:paraId="63B8F887">
        <w:tblPrEx>
          <w:tblCellMar>
            <w:top w:w="0" w:type="dxa"/>
            <w:left w:w="108" w:type="dxa"/>
            <w:bottom w:w="0" w:type="dxa"/>
            <w:right w:w="108" w:type="dxa"/>
          </w:tblCellMar>
        </w:tblPrEx>
        <w:trPr>
          <w:trHeight w:val="255" w:hRule="atLeast"/>
        </w:trPr>
        <w:tc>
          <w:tcPr>
            <w:tcW w:w="1480" w:type="dxa"/>
            <w:tcBorders>
              <w:top w:val="nil"/>
              <w:left w:val="single" w:color="auto" w:sz="4" w:space="0"/>
              <w:bottom w:val="single" w:color="auto" w:sz="4" w:space="0"/>
              <w:right w:val="single" w:color="auto" w:sz="4" w:space="0"/>
            </w:tcBorders>
            <w:shd w:val="clear" w:color="auto" w:fill="auto"/>
            <w:noWrap/>
            <w:vAlign w:val="center"/>
          </w:tcPr>
          <w:p w14:paraId="0AED0F57">
            <w:pPr>
              <w:widowControl/>
              <w:ind w:firstLine="0" w:firstLineChars="0"/>
              <w:jc w:val="center"/>
              <w:rPr>
                <w:rFonts w:ascii="仿宋" w:hAnsi="仿宋" w:eastAsia="仿宋" w:cs="Arial"/>
                <w:kern w:val="0"/>
                <w:szCs w:val="28"/>
              </w:rPr>
            </w:pPr>
            <w:r>
              <w:rPr>
                <w:rFonts w:ascii="仿宋" w:hAnsi="仿宋" w:eastAsia="仿宋" w:cs="Arial"/>
                <w:kern w:val="0"/>
                <w:szCs w:val="28"/>
              </w:rPr>
              <w:t>8</w:t>
            </w:r>
          </w:p>
        </w:tc>
        <w:tc>
          <w:tcPr>
            <w:tcW w:w="1320" w:type="dxa"/>
            <w:tcBorders>
              <w:top w:val="nil"/>
              <w:left w:val="nil"/>
              <w:bottom w:val="single" w:color="auto" w:sz="4" w:space="0"/>
              <w:right w:val="single" w:color="auto" w:sz="4" w:space="0"/>
            </w:tcBorders>
            <w:shd w:val="clear" w:color="auto" w:fill="auto"/>
            <w:noWrap/>
            <w:vAlign w:val="center"/>
          </w:tcPr>
          <w:p w14:paraId="006E2702">
            <w:pPr>
              <w:widowControl/>
              <w:ind w:firstLine="0" w:firstLineChars="0"/>
              <w:jc w:val="center"/>
              <w:rPr>
                <w:rFonts w:ascii="仿宋" w:hAnsi="仿宋" w:eastAsia="仿宋" w:cs="Arial"/>
                <w:kern w:val="0"/>
                <w:szCs w:val="28"/>
              </w:rPr>
            </w:pPr>
            <w:r>
              <w:rPr>
                <w:rFonts w:ascii="仿宋" w:hAnsi="仿宋" w:eastAsia="仿宋" w:cs="Arial"/>
                <w:kern w:val="0"/>
                <w:szCs w:val="28"/>
              </w:rPr>
              <w:t>省道</w:t>
            </w:r>
          </w:p>
        </w:tc>
        <w:tc>
          <w:tcPr>
            <w:tcW w:w="3880" w:type="dxa"/>
            <w:tcBorders>
              <w:top w:val="nil"/>
              <w:left w:val="nil"/>
              <w:bottom w:val="single" w:color="auto" w:sz="4" w:space="0"/>
              <w:right w:val="single" w:color="auto" w:sz="4" w:space="0"/>
            </w:tcBorders>
            <w:shd w:val="clear" w:color="auto" w:fill="auto"/>
            <w:noWrap/>
            <w:vAlign w:val="center"/>
          </w:tcPr>
          <w:p w14:paraId="34AA7C38">
            <w:pPr>
              <w:widowControl/>
              <w:ind w:firstLine="0" w:firstLineChars="0"/>
              <w:jc w:val="center"/>
              <w:rPr>
                <w:rFonts w:ascii="仿宋" w:hAnsi="仿宋" w:eastAsia="仿宋" w:cs="Arial"/>
                <w:kern w:val="0"/>
                <w:szCs w:val="28"/>
              </w:rPr>
            </w:pPr>
            <w:r>
              <w:rPr>
                <w:rFonts w:ascii="仿宋" w:hAnsi="仿宋" w:eastAsia="仿宋" w:cs="Arial"/>
                <w:kern w:val="0"/>
                <w:szCs w:val="28"/>
              </w:rPr>
              <w:t>S576</w:t>
            </w:r>
          </w:p>
        </w:tc>
        <w:tc>
          <w:tcPr>
            <w:tcW w:w="920" w:type="dxa"/>
            <w:tcBorders>
              <w:top w:val="nil"/>
              <w:left w:val="nil"/>
              <w:bottom w:val="single" w:color="auto" w:sz="4" w:space="0"/>
              <w:right w:val="single" w:color="auto" w:sz="4" w:space="0"/>
            </w:tcBorders>
            <w:shd w:val="clear" w:color="auto" w:fill="auto"/>
            <w:noWrap/>
            <w:vAlign w:val="center"/>
          </w:tcPr>
          <w:p w14:paraId="1DBCDA19">
            <w:pPr>
              <w:widowControl/>
              <w:ind w:firstLine="0" w:firstLineChars="0"/>
              <w:jc w:val="center"/>
              <w:rPr>
                <w:rFonts w:ascii="仿宋" w:hAnsi="仿宋" w:eastAsia="仿宋" w:cs="Arial"/>
                <w:kern w:val="0"/>
                <w:szCs w:val="28"/>
              </w:rPr>
            </w:pPr>
            <w:r>
              <w:rPr>
                <w:rFonts w:hint="eastAsia" w:ascii="仿宋" w:hAnsi="仿宋" w:eastAsia="仿宋" w:cs="Arial"/>
                <w:kern w:val="0"/>
                <w:szCs w:val="28"/>
              </w:rPr>
              <w:t>现状</w:t>
            </w:r>
          </w:p>
        </w:tc>
        <w:tc>
          <w:tcPr>
            <w:tcW w:w="1680" w:type="dxa"/>
            <w:tcBorders>
              <w:top w:val="nil"/>
              <w:left w:val="nil"/>
              <w:bottom w:val="single" w:color="auto" w:sz="4" w:space="0"/>
              <w:right w:val="single" w:color="auto" w:sz="4" w:space="0"/>
            </w:tcBorders>
            <w:shd w:val="clear" w:color="auto" w:fill="auto"/>
            <w:noWrap/>
            <w:vAlign w:val="center"/>
          </w:tcPr>
          <w:p w14:paraId="7E989C63">
            <w:pPr>
              <w:widowControl/>
              <w:ind w:firstLine="0" w:firstLineChars="0"/>
              <w:jc w:val="center"/>
              <w:rPr>
                <w:rFonts w:ascii="仿宋" w:hAnsi="仿宋" w:eastAsia="仿宋" w:cs="Arial"/>
                <w:kern w:val="0"/>
                <w:szCs w:val="28"/>
              </w:rPr>
            </w:pPr>
            <w:r>
              <w:rPr>
                <w:rFonts w:ascii="仿宋" w:hAnsi="仿宋" w:eastAsia="仿宋" w:cs="Arial"/>
                <w:kern w:val="0"/>
                <w:szCs w:val="28"/>
              </w:rPr>
              <w:t>68.1</w:t>
            </w:r>
          </w:p>
        </w:tc>
      </w:tr>
      <w:tr w14:paraId="6A53F830">
        <w:tblPrEx>
          <w:tblCellMar>
            <w:top w:w="0" w:type="dxa"/>
            <w:left w:w="108" w:type="dxa"/>
            <w:bottom w:w="0" w:type="dxa"/>
            <w:right w:w="108" w:type="dxa"/>
          </w:tblCellMar>
        </w:tblPrEx>
        <w:trPr>
          <w:trHeight w:val="255" w:hRule="atLeast"/>
        </w:trPr>
        <w:tc>
          <w:tcPr>
            <w:tcW w:w="1480" w:type="dxa"/>
            <w:tcBorders>
              <w:top w:val="nil"/>
              <w:left w:val="single" w:color="auto" w:sz="4" w:space="0"/>
              <w:bottom w:val="single" w:color="auto" w:sz="4" w:space="0"/>
              <w:right w:val="single" w:color="auto" w:sz="4" w:space="0"/>
            </w:tcBorders>
            <w:shd w:val="clear" w:color="auto" w:fill="auto"/>
            <w:noWrap/>
            <w:vAlign w:val="center"/>
          </w:tcPr>
          <w:p w14:paraId="36E42912">
            <w:pPr>
              <w:widowControl/>
              <w:ind w:firstLine="0" w:firstLineChars="0"/>
              <w:jc w:val="center"/>
              <w:rPr>
                <w:rFonts w:ascii="仿宋" w:hAnsi="仿宋" w:eastAsia="仿宋" w:cs="Arial"/>
                <w:kern w:val="0"/>
                <w:szCs w:val="28"/>
              </w:rPr>
            </w:pPr>
            <w:r>
              <w:rPr>
                <w:rFonts w:hint="eastAsia" w:ascii="仿宋" w:hAnsi="仿宋" w:eastAsia="仿宋" w:cs="Arial"/>
                <w:kern w:val="0"/>
                <w:szCs w:val="28"/>
              </w:rPr>
              <w:t>总计</w:t>
            </w:r>
          </w:p>
        </w:tc>
        <w:tc>
          <w:tcPr>
            <w:tcW w:w="1320" w:type="dxa"/>
            <w:tcBorders>
              <w:top w:val="nil"/>
              <w:left w:val="nil"/>
              <w:bottom w:val="single" w:color="auto" w:sz="4" w:space="0"/>
              <w:right w:val="single" w:color="auto" w:sz="4" w:space="0"/>
            </w:tcBorders>
            <w:shd w:val="clear" w:color="auto" w:fill="auto"/>
            <w:noWrap/>
            <w:vAlign w:val="center"/>
          </w:tcPr>
          <w:p w14:paraId="0CAC179B">
            <w:pPr>
              <w:widowControl/>
              <w:ind w:firstLine="0" w:firstLineChars="0"/>
              <w:jc w:val="center"/>
              <w:rPr>
                <w:rFonts w:ascii="仿宋" w:hAnsi="仿宋" w:eastAsia="仿宋" w:cs="Arial"/>
                <w:kern w:val="0"/>
                <w:szCs w:val="28"/>
              </w:rPr>
            </w:pPr>
            <w:r>
              <w:rPr>
                <w:rFonts w:ascii="仿宋" w:hAnsi="仿宋" w:eastAsia="仿宋" w:cs="Arial"/>
                <w:kern w:val="0"/>
                <w:szCs w:val="28"/>
              </w:rPr>
              <w:t>　</w:t>
            </w:r>
          </w:p>
        </w:tc>
        <w:tc>
          <w:tcPr>
            <w:tcW w:w="3880" w:type="dxa"/>
            <w:tcBorders>
              <w:top w:val="nil"/>
              <w:left w:val="nil"/>
              <w:bottom w:val="single" w:color="auto" w:sz="4" w:space="0"/>
              <w:right w:val="single" w:color="auto" w:sz="4" w:space="0"/>
            </w:tcBorders>
            <w:shd w:val="clear" w:color="auto" w:fill="auto"/>
            <w:noWrap/>
            <w:vAlign w:val="center"/>
          </w:tcPr>
          <w:p w14:paraId="40CEB715">
            <w:pPr>
              <w:widowControl/>
              <w:ind w:firstLine="0" w:firstLineChars="0"/>
              <w:jc w:val="center"/>
              <w:rPr>
                <w:rFonts w:ascii="仿宋" w:hAnsi="仿宋" w:eastAsia="仿宋" w:cs="Arial"/>
                <w:kern w:val="0"/>
                <w:szCs w:val="28"/>
              </w:rPr>
            </w:pPr>
            <w:r>
              <w:rPr>
                <w:rFonts w:ascii="仿宋" w:hAnsi="仿宋" w:eastAsia="仿宋" w:cs="Arial"/>
                <w:kern w:val="0"/>
                <w:szCs w:val="28"/>
              </w:rPr>
              <w:t>　</w:t>
            </w:r>
          </w:p>
        </w:tc>
        <w:tc>
          <w:tcPr>
            <w:tcW w:w="920" w:type="dxa"/>
            <w:tcBorders>
              <w:top w:val="nil"/>
              <w:left w:val="nil"/>
              <w:bottom w:val="single" w:color="auto" w:sz="4" w:space="0"/>
              <w:right w:val="single" w:color="auto" w:sz="4" w:space="0"/>
            </w:tcBorders>
            <w:shd w:val="clear" w:color="auto" w:fill="auto"/>
            <w:noWrap/>
            <w:vAlign w:val="center"/>
          </w:tcPr>
          <w:p w14:paraId="6109A3B2">
            <w:pPr>
              <w:widowControl/>
              <w:ind w:firstLine="0" w:firstLineChars="0"/>
              <w:jc w:val="center"/>
              <w:rPr>
                <w:rFonts w:ascii="仿宋" w:hAnsi="仿宋" w:eastAsia="仿宋" w:cs="Arial"/>
                <w:kern w:val="0"/>
                <w:szCs w:val="28"/>
              </w:rPr>
            </w:pPr>
            <w:r>
              <w:rPr>
                <w:rFonts w:ascii="仿宋" w:hAnsi="仿宋" w:eastAsia="仿宋" w:cs="Arial"/>
                <w:kern w:val="0"/>
                <w:szCs w:val="28"/>
              </w:rPr>
              <w:t>　</w:t>
            </w:r>
          </w:p>
        </w:tc>
        <w:tc>
          <w:tcPr>
            <w:tcW w:w="1680" w:type="dxa"/>
            <w:tcBorders>
              <w:top w:val="nil"/>
              <w:left w:val="nil"/>
              <w:bottom w:val="single" w:color="auto" w:sz="4" w:space="0"/>
              <w:right w:val="single" w:color="auto" w:sz="4" w:space="0"/>
            </w:tcBorders>
            <w:shd w:val="clear" w:color="auto" w:fill="auto"/>
            <w:noWrap/>
            <w:vAlign w:val="center"/>
          </w:tcPr>
          <w:p w14:paraId="48F6306E">
            <w:pPr>
              <w:widowControl/>
              <w:ind w:firstLine="0" w:firstLineChars="0"/>
              <w:jc w:val="center"/>
              <w:rPr>
                <w:rFonts w:ascii="仿宋" w:hAnsi="仿宋" w:eastAsia="仿宋" w:cs="Arial"/>
                <w:kern w:val="0"/>
                <w:szCs w:val="28"/>
              </w:rPr>
            </w:pPr>
            <w:r>
              <w:rPr>
                <w:rFonts w:ascii="仿宋" w:hAnsi="仿宋" w:eastAsia="仿宋" w:cs="Arial"/>
                <w:kern w:val="0"/>
                <w:szCs w:val="28"/>
              </w:rPr>
              <w:t>584.9</w:t>
            </w:r>
          </w:p>
        </w:tc>
      </w:tr>
    </w:tbl>
    <w:p w14:paraId="050BB4D0">
      <w:pPr>
        <w:ind w:firstLine="198" w:firstLineChars="62"/>
        <w:rPr>
          <w:rFonts w:ascii="仿宋" w:hAnsi="仿宋" w:eastAsia="仿宋" w:cs="仿宋"/>
          <w:color w:val="000000" w:themeColor="text1"/>
          <w:sz w:val="32"/>
          <w:szCs w:val="32"/>
          <w14:textFill>
            <w14:solidFill>
              <w14:schemeClr w14:val="tx1"/>
            </w14:solidFill>
          </w14:textFill>
        </w:rPr>
      </w:pPr>
    </w:p>
    <w:p w14:paraId="0D31CF05">
      <w:pPr>
        <w:ind w:firstLine="640"/>
        <w:rPr>
          <w:rFonts w:ascii="仿宋" w:hAnsi="仿宋" w:eastAsia="仿宋" w:cs="仿宋"/>
          <w:color w:val="000000" w:themeColor="text1"/>
          <w:sz w:val="32"/>
          <w:szCs w:val="32"/>
          <w14:textFill>
            <w14:solidFill>
              <w14:schemeClr w14:val="tx1"/>
            </w14:solidFill>
          </w14:textFill>
        </w:rPr>
      </w:pPr>
      <w:r>
        <w:rPr>
          <w:rFonts w:hint="eastAsia" w:ascii="仿宋" w:hAnsi="仿宋" w:eastAsia="仿宋" w:cs="仿宋"/>
          <w:color w:val="000000" w:themeColor="text1"/>
          <w:sz w:val="32"/>
          <w:szCs w:val="32"/>
          <w14:textFill>
            <w14:solidFill>
              <w14:schemeClr w14:val="tx1"/>
            </w14:solidFill>
          </w14:textFill>
        </w:rPr>
        <w:t>3.特殊区域划定</w:t>
      </w:r>
    </w:p>
    <w:p w14:paraId="05230513">
      <w:pPr>
        <w:ind w:firstLine="640"/>
        <w:rPr>
          <w:rFonts w:ascii="仿宋" w:hAnsi="仿宋" w:eastAsia="仿宋" w:cs="仿宋"/>
          <w:color w:val="000000" w:themeColor="text1"/>
          <w:sz w:val="32"/>
          <w:szCs w:val="32"/>
          <w14:textFill>
            <w14:solidFill>
              <w14:schemeClr w14:val="tx1"/>
            </w14:solidFill>
          </w14:textFill>
        </w:rPr>
      </w:pPr>
      <w:r>
        <w:rPr>
          <w:rFonts w:hint="eastAsia" w:ascii="仿宋" w:hAnsi="仿宋" w:eastAsia="仿宋" w:cs="仿宋"/>
          <w:color w:val="000000" w:themeColor="text1"/>
          <w:sz w:val="32"/>
          <w:szCs w:val="32"/>
          <w14:textFill>
            <w14:solidFill>
              <w14:schemeClr w14:val="tx1"/>
            </w14:solidFill>
          </w14:textFill>
        </w:rPr>
        <w:t>自然保护地、风景名胜区等区域以边界为起点外延1000米。城步苗族自治县自然保护地包括南山国家公园自然保护区，保护面积分别为</w:t>
      </w:r>
      <w:r>
        <w:rPr>
          <w:rFonts w:ascii="仿宋" w:hAnsi="仿宋" w:eastAsia="仿宋" w:cs="仿宋"/>
          <w:color w:val="000000" w:themeColor="text1"/>
          <w:sz w:val="32"/>
          <w:szCs w:val="32"/>
          <w14:textFill>
            <w14:solidFill>
              <w14:schemeClr w14:val="tx1"/>
            </w14:solidFill>
          </w14:textFill>
        </w:rPr>
        <w:t>63593</w:t>
      </w:r>
      <w:r>
        <w:rPr>
          <w:rFonts w:hint="eastAsia" w:ascii="仿宋" w:hAnsi="仿宋" w:eastAsia="仿宋" w:cs="仿宋"/>
          <w:color w:val="000000" w:themeColor="text1"/>
          <w:sz w:val="32"/>
          <w:szCs w:val="32"/>
          <w14:textFill>
            <w14:solidFill>
              <w14:schemeClr w14:val="tx1"/>
            </w14:solidFill>
          </w14:textFill>
        </w:rPr>
        <w:t>.</w:t>
      </w:r>
      <w:r>
        <w:rPr>
          <w:rFonts w:ascii="仿宋" w:hAnsi="仿宋" w:eastAsia="仿宋" w:cs="仿宋"/>
          <w:color w:val="000000" w:themeColor="text1"/>
          <w:sz w:val="32"/>
          <w:szCs w:val="32"/>
          <w14:textFill>
            <w14:solidFill>
              <w14:schemeClr w14:val="tx1"/>
            </w14:solidFill>
          </w14:textFill>
        </w:rPr>
        <w:t>46</w:t>
      </w:r>
      <w:r>
        <w:rPr>
          <w:rFonts w:hint="eastAsia" w:ascii="仿宋" w:hAnsi="仿宋" w:eastAsia="仿宋" w:cs="仿宋"/>
          <w:color w:val="000000" w:themeColor="text1"/>
          <w:sz w:val="32"/>
          <w:szCs w:val="32"/>
          <w14:textFill>
            <w14:solidFill>
              <w14:schemeClr w14:val="tx1"/>
            </w14:solidFill>
          </w14:textFill>
        </w:rPr>
        <w:t>公顷</w:t>
      </w:r>
      <w:r>
        <w:rPr>
          <w:rFonts w:hint="eastAsia" w:ascii="仿宋" w:hAnsi="仿宋" w:eastAsia="仿宋" w:cs="仿宋"/>
          <w:sz w:val="32"/>
          <w:szCs w:val="32"/>
        </w:rPr>
        <w:t>。</w:t>
      </w:r>
    </w:p>
    <w:p w14:paraId="5850B3BB">
      <w:pPr>
        <w:ind w:firstLine="640"/>
        <w:rPr>
          <w:rFonts w:ascii="仿宋" w:hAnsi="仿宋" w:eastAsia="仿宋" w:cs="仿宋"/>
          <w:color w:val="000000" w:themeColor="text1"/>
          <w:sz w:val="32"/>
          <w:szCs w:val="32"/>
          <w14:textFill>
            <w14:solidFill>
              <w14:schemeClr w14:val="tx1"/>
            </w14:solidFill>
          </w14:textFill>
        </w:rPr>
      </w:pPr>
      <w:r>
        <w:rPr>
          <w:rFonts w:hint="eastAsia" w:ascii="仿宋" w:hAnsi="仿宋" w:eastAsia="仿宋" w:cs="仿宋"/>
          <w:color w:val="000000" w:themeColor="text1"/>
          <w:sz w:val="32"/>
          <w:szCs w:val="32"/>
          <w14:textFill>
            <w14:solidFill>
              <w14:schemeClr w14:val="tx1"/>
            </w14:solidFill>
          </w14:textFill>
        </w:rPr>
        <w:t>4.法律、法规以及规范性文件规定的其他禁止露天焚烧秸秆的区域。</w:t>
      </w:r>
    </w:p>
    <w:p w14:paraId="21F1BC81">
      <w:pPr>
        <w:pStyle w:val="3"/>
        <w:numPr>
          <w:ilvl w:val="1"/>
          <w:numId w:val="0"/>
        </w:numPr>
        <w:ind w:firstLine="643" w:firstLineChars="200"/>
        <w:rPr>
          <w:rFonts w:ascii="楷体" w:hAnsi="楷体" w:eastAsia="楷体" w:cs="楷体"/>
          <w:color w:val="000000" w:themeColor="text1"/>
          <w:sz w:val="32"/>
          <w14:textFill>
            <w14:solidFill>
              <w14:schemeClr w14:val="tx1"/>
            </w14:solidFill>
          </w14:textFill>
        </w:rPr>
      </w:pPr>
      <w:bookmarkStart w:id="29" w:name="_Toc174515766"/>
      <w:r>
        <w:rPr>
          <w:rFonts w:hint="eastAsia" w:ascii="楷体" w:hAnsi="楷体" w:eastAsia="楷体" w:cs="楷体"/>
          <w:color w:val="000000" w:themeColor="text1"/>
          <w:sz w:val="32"/>
          <w14:textFill>
            <w14:solidFill>
              <w14:schemeClr w14:val="tx1"/>
            </w14:solidFill>
          </w14:textFill>
        </w:rPr>
        <w:t>4.2限烧区划定</w:t>
      </w:r>
      <w:bookmarkEnd w:id="29"/>
    </w:p>
    <w:p w14:paraId="62B70F5E">
      <w:pPr>
        <w:ind w:firstLine="640"/>
        <w:rPr>
          <w:rFonts w:ascii="仿宋" w:hAnsi="仿宋" w:eastAsia="仿宋" w:cs="仿宋"/>
          <w:color w:val="000000" w:themeColor="text1"/>
          <w:sz w:val="32"/>
          <w:szCs w:val="32"/>
          <w14:textFill>
            <w14:solidFill>
              <w14:schemeClr w14:val="tx1"/>
            </w14:solidFill>
          </w14:textFill>
        </w:rPr>
      </w:pPr>
      <w:r>
        <w:rPr>
          <w:rFonts w:hint="eastAsia" w:ascii="仿宋" w:hAnsi="仿宋" w:eastAsia="仿宋" w:cs="仿宋"/>
          <w:color w:val="000000" w:themeColor="text1"/>
          <w:sz w:val="32"/>
          <w:szCs w:val="32"/>
          <w14:textFill>
            <w14:solidFill>
              <w14:schemeClr w14:val="tx1"/>
            </w14:solidFill>
          </w14:textFill>
        </w:rPr>
        <w:t>秸秆禁烧区以外的所有区域为秸秆限烧区。限烧区内，在确保人民生命财产安全、防止大气污染、保护广大人民群众身体健康的前提下，充分考虑气象条件、焚烧地点和方式，可开展有序焚烧。</w:t>
      </w:r>
    </w:p>
    <w:p w14:paraId="769BC4EB">
      <w:pPr>
        <w:ind w:firstLine="643"/>
        <w:rPr>
          <w:rFonts w:ascii="仿宋" w:hAnsi="仿宋" w:eastAsia="仿宋" w:cs="仿宋"/>
          <w:b/>
          <w:bCs/>
          <w:color w:val="000000" w:themeColor="text1"/>
          <w:sz w:val="32"/>
          <w:szCs w:val="32"/>
          <w14:textFill>
            <w14:solidFill>
              <w14:schemeClr w14:val="tx1"/>
            </w14:solidFill>
          </w14:textFill>
        </w:rPr>
      </w:pPr>
      <w:r>
        <w:rPr>
          <w:rFonts w:hint="eastAsia" w:ascii="仿宋" w:hAnsi="仿宋" w:eastAsia="仿宋" w:cs="仿宋"/>
          <w:b/>
          <w:bCs/>
          <w:color w:val="000000" w:themeColor="text1"/>
          <w:sz w:val="32"/>
          <w:szCs w:val="32"/>
          <w14:textFill>
            <w14:solidFill>
              <w14:schemeClr w14:val="tx1"/>
            </w14:solidFill>
          </w14:textFill>
        </w:rPr>
        <w:t>限烧区内，</w:t>
      </w:r>
      <w:r>
        <w:rPr>
          <w:rFonts w:hint="eastAsia" w:ascii="仿宋" w:hAnsi="仿宋" w:eastAsia="仿宋" w:cs="仿宋"/>
          <w:b/>
          <w:bCs/>
          <w:color w:val="000000" w:themeColor="text1"/>
          <w:sz w:val="32"/>
          <w:szCs w:val="32"/>
          <w:lang w:val="en"/>
          <w14:textFill>
            <w14:solidFill>
              <w14:schemeClr w14:val="tx1"/>
            </w14:solidFill>
          </w14:textFill>
        </w:rPr>
        <w:t>出现</w:t>
      </w:r>
      <w:r>
        <w:rPr>
          <w:rFonts w:hint="eastAsia" w:ascii="仿宋" w:hAnsi="仿宋" w:eastAsia="仿宋" w:cs="仿宋"/>
          <w:b/>
          <w:bCs/>
          <w:color w:val="000000" w:themeColor="text1"/>
          <w:sz w:val="32"/>
          <w:szCs w:val="32"/>
          <w14:textFill>
            <w14:solidFill>
              <w14:schemeClr w14:val="tx1"/>
            </w14:solidFill>
          </w14:textFill>
        </w:rPr>
        <w:t>下列</w:t>
      </w:r>
      <w:r>
        <w:rPr>
          <w:rFonts w:hint="eastAsia" w:ascii="仿宋" w:hAnsi="仿宋" w:eastAsia="仿宋" w:cs="仿宋"/>
          <w:b/>
          <w:bCs/>
          <w:color w:val="000000" w:themeColor="text1"/>
          <w:sz w:val="32"/>
          <w:szCs w:val="32"/>
          <w:lang w:val="en"/>
          <w14:textFill>
            <w14:solidFill>
              <w14:schemeClr w14:val="tx1"/>
            </w14:solidFill>
          </w14:textFill>
        </w:rPr>
        <w:t>情形之一的，</w:t>
      </w:r>
      <w:r>
        <w:rPr>
          <w:rFonts w:hint="eastAsia" w:ascii="仿宋" w:hAnsi="仿宋" w:eastAsia="仿宋" w:cs="仿宋"/>
          <w:b/>
          <w:bCs/>
          <w:color w:val="000000" w:themeColor="text1"/>
          <w:sz w:val="32"/>
          <w:szCs w:val="32"/>
          <w14:textFill>
            <w14:solidFill>
              <w14:schemeClr w14:val="tx1"/>
            </w14:solidFill>
          </w14:textFill>
        </w:rPr>
        <w:t>应当列入秸秆禁烧时段：</w:t>
      </w:r>
    </w:p>
    <w:p w14:paraId="5649E8DB">
      <w:pPr>
        <w:ind w:firstLine="640"/>
        <w:rPr>
          <w:rFonts w:ascii="仿宋" w:hAnsi="仿宋" w:eastAsia="仿宋" w:cs="仿宋"/>
          <w:color w:val="000000" w:themeColor="text1"/>
          <w:sz w:val="32"/>
          <w:szCs w:val="32"/>
          <w14:textFill>
            <w14:solidFill>
              <w14:schemeClr w14:val="tx1"/>
            </w14:solidFill>
          </w14:textFill>
        </w:rPr>
      </w:pPr>
      <w:r>
        <w:rPr>
          <w:rFonts w:hint="eastAsia" w:ascii="仿宋" w:hAnsi="仿宋" w:eastAsia="仿宋" w:cs="仿宋"/>
          <w:color w:val="000000" w:themeColor="text1"/>
          <w:sz w:val="32"/>
          <w:szCs w:val="32"/>
          <w14:textFill>
            <w14:solidFill>
              <w14:schemeClr w14:val="tx1"/>
            </w14:solidFill>
          </w14:textFill>
        </w:rPr>
        <w:t>（1）风速小、静稳、逆温等不利于大气污染扩散的天气；</w:t>
      </w:r>
    </w:p>
    <w:p w14:paraId="128A0C79">
      <w:pPr>
        <w:ind w:firstLine="640"/>
        <w:rPr>
          <w:rFonts w:ascii="仿宋" w:hAnsi="仿宋" w:eastAsia="仿宋" w:cs="仿宋"/>
          <w:color w:val="000000" w:themeColor="text1"/>
          <w:sz w:val="32"/>
          <w:szCs w:val="32"/>
          <w:lang w:val="en"/>
          <w14:textFill>
            <w14:solidFill>
              <w14:schemeClr w14:val="tx1"/>
            </w14:solidFill>
          </w14:textFill>
        </w:rPr>
      </w:pPr>
      <w:r>
        <w:rPr>
          <w:rFonts w:hint="eastAsia" w:ascii="仿宋" w:hAnsi="仿宋" w:eastAsia="仿宋" w:cs="仿宋"/>
          <w:color w:val="000000" w:themeColor="text1"/>
          <w:sz w:val="32"/>
          <w:szCs w:val="32"/>
          <w14:textFill>
            <w14:solidFill>
              <w14:schemeClr w14:val="tx1"/>
            </w14:solidFill>
          </w14:textFill>
        </w:rPr>
        <w:t>（2）</w:t>
      </w:r>
      <w:r>
        <w:rPr>
          <w:rFonts w:hint="eastAsia" w:ascii="仿宋" w:hAnsi="仿宋" w:eastAsia="仿宋" w:cs="仿宋"/>
          <w:color w:val="000000" w:themeColor="text1"/>
          <w:sz w:val="32"/>
          <w:szCs w:val="32"/>
          <w:lang w:val="en"/>
          <w14:textFill>
            <w14:solidFill>
              <w14:schemeClr w14:val="tx1"/>
            </w14:solidFill>
          </w14:textFill>
        </w:rPr>
        <w:t>下雨天或者秸秆潮湿不能充分燃烧的天气；</w:t>
      </w:r>
    </w:p>
    <w:p w14:paraId="51F93BA9">
      <w:pPr>
        <w:ind w:firstLine="640"/>
        <w:rPr>
          <w:rFonts w:ascii="仿宋" w:hAnsi="仿宋" w:eastAsia="仿宋" w:cs="仿宋"/>
          <w:color w:val="000000" w:themeColor="text1"/>
          <w:sz w:val="32"/>
          <w:szCs w:val="32"/>
          <w:lang w:val="en"/>
          <w14:textFill>
            <w14:solidFill>
              <w14:schemeClr w14:val="tx1"/>
            </w14:solidFill>
          </w14:textFill>
        </w:rPr>
      </w:pPr>
      <w:r>
        <w:rPr>
          <w:rFonts w:hint="eastAsia" w:ascii="仿宋" w:hAnsi="仿宋" w:eastAsia="仿宋" w:cs="仿宋"/>
          <w:color w:val="000000" w:themeColor="text1"/>
          <w:sz w:val="32"/>
          <w:szCs w:val="32"/>
          <w14:textFill>
            <w14:solidFill>
              <w14:schemeClr w14:val="tx1"/>
            </w14:solidFill>
          </w14:textFill>
        </w:rPr>
        <w:t>（3）当日19:00至次日7:00</w:t>
      </w:r>
      <w:r>
        <w:rPr>
          <w:rFonts w:hint="eastAsia" w:ascii="仿宋" w:hAnsi="仿宋" w:eastAsia="仿宋" w:cs="仿宋"/>
          <w:color w:val="000000" w:themeColor="text1"/>
          <w:sz w:val="32"/>
          <w:szCs w:val="32"/>
          <w:lang w:val="en"/>
          <w14:textFill>
            <w14:solidFill>
              <w14:schemeClr w14:val="tx1"/>
            </w14:solidFill>
          </w14:textFill>
        </w:rPr>
        <w:t>的</w:t>
      </w:r>
      <w:r>
        <w:rPr>
          <w:rFonts w:hint="eastAsia" w:ascii="仿宋" w:hAnsi="仿宋" w:eastAsia="仿宋" w:cs="仿宋"/>
          <w:color w:val="000000" w:themeColor="text1"/>
          <w:sz w:val="32"/>
          <w:szCs w:val="32"/>
          <w14:textFill>
            <w14:solidFill>
              <w14:schemeClr w14:val="tx1"/>
            </w14:solidFill>
          </w14:textFill>
        </w:rPr>
        <w:t>夜间时段；</w:t>
      </w:r>
    </w:p>
    <w:p w14:paraId="2A0D9E85">
      <w:pPr>
        <w:ind w:firstLine="640"/>
        <w:rPr>
          <w:rFonts w:ascii="仿宋" w:hAnsi="仿宋" w:eastAsia="仿宋" w:cs="仿宋"/>
          <w:color w:val="000000" w:themeColor="text1"/>
          <w:sz w:val="32"/>
          <w:szCs w:val="32"/>
          <w14:textFill>
            <w14:solidFill>
              <w14:schemeClr w14:val="tx1"/>
            </w14:solidFill>
          </w14:textFill>
        </w:rPr>
      </w:pPr>
      <w:r>
        <w:rPr>
          <w:rFonts w:hint="eastAsia" w:ascii="仿宋" w:hAnsi="仿宋" w:eastAsia="仿宋" w:cs="仿宋"/>
          <w:color w:val="000000" w:themeColor="text1"/>
          <w:sz w:val="32"/>
          <w:szCs w:val="32"/>
          <w14:textFill>
            <w14:solidFill>
              <w14:schemeClr w14:val="tx1"/>
            </w14:solidFill>
          </w14:textFill>
        </w:rPr>
        <w:t>（4）环境空气质量预报达到轻度及以上的污染天；</w:t>
      </w:r>
    </w:p>
    <w:p w14:paraId="5B001533">
      <w:pPr>
        <w:ind w:firstLine="640"/>
        <w:rPr>
          <w:rFonts w:ascii="仿宋" w:hAnsi="仿宋" w:eastAsia="仿宋" w:cs="仿宋"/>
          <w:color w:val="000000" w:themeColor="text1"/>
          <w:sz w:val="32"/>
          <w:szCs w:val="32"/>
          <w:lang w:val="en"/>
          <w14:textFill>
            <w14:solidFill>
              <w14:schemeClr w14:val="tx1"/>
            </w14:solidFill>
          </w14:textFill>
        </w:rPr>
      </w:pPr>
      <w:r>
        <w:rPr>
          <w:rFonts w:hint="eastAsia" w:ascii="仿宋" w:hAnsi="仿宋" w:eastAsia="仿宋" w:cs="仿宋"/>
          <w:color w:val="000000" w:themeColor="text1"/>
          <w:sz w:val="32"/>
          <w:szCs w:val="32"/>
          <w14:textFill>
            <w14:solidFill>
              <w14:schemeClr w14:val="tx1"/>
            </w14:solidFill>
          </w14:textFill>
        </w:rPr>
        <w:t>（5）环境空气质量当日实际监测连续出现三小时中度及以上的</w:t>
      </w:r>
      <w:r>
        <w:rPr>
          <w:rFonts w:hint="eastAsia" w:ascii="仿宋" w:hAnsi="仿宋" w:eastAsia="仿宋" w:cs="仿宋"/>
          <w:color w:val="000000" w:themeColor="text1"/>
          <w:sz w:val="32"/>
          <w:szCs w:val="32"/>
          <w:lang w:val="en"/>
          <w14:textFill>
            <w14:solidFill>
              <w14:schemeClr w14:val="tx1"/>
            </w14:solidFill>
          </w14:textFill>
        </w:rPr>
        <w:t>；</w:t>
      </w:r>
    </w:p>
    <w:p w14:paraId="5578FB1A">
      <w:pPr>
        <w:ind w:firstLine="640"/>
        <w:rPr>
          <w:rFonts w:ascii="仿宋" w:hAnsi="仿宋" w:eastAsia="仿宋" w:cs="仿宋"/>
          <w:color w:val="000000" w:themeColor="text1"/>
          <w:sz w:val="32"/>
          <w:szCs w:val="32"/>
          <w14:textFill>
            <w14:solidFill>
              <w14:schemeClr w14:val="tx1"/>
            </w14:solidFill>
          </w14:textFill>
        </w:rPr>
      </w:pPr>
      <w:r>
        <w:rPr>
          <w:rFonts w:hint="eastAsia" w:ascii="仿宋" w:hAnsi="仿宋" w:eastAsia="仿宋" w:cs="仿宋"/>
          <w:color w:val="000000" w:themeColor="text1"/>
          <w:sz w:val="32"/>
          <w:szCs w:val="32"/>
          <w14:textFill>
            <w14:solidFill>
              <w14:schemeClr w14:val="tx1"/>
            </w14:solidFill>
          </w14:textFill>
        </w:rPr>
        <w:t>（6）当地人民政府已经启动轻度及以上大气污染应急管控措施的；</w:t>
      </w:r>
    </w:p>
    <w:p w14:paraId="24D9E602">
      <w:pPr>
        <w:ind w:firstLine="640"/>
        <w:rPr>
          <w:rFonts w:ascii="仿宋" w:hAnsi="仿宋" w:eastAsia="仿宋" w:cs="仿宋"/>
          <w:color w:val="000000" w:themeColor="text1"/>
          <w:sz w:val="32"/>
          <w:szCs w:val="32"/>
          <w14:textFill>
            <w14:solidFill>
              <w14:schemeClr w14:val="tx1"/>
            </w14:solidFill>
          </w14:textFill>
        </w:rPr>
      </w:pPr>
      <w:r>
        <w:rPr>
          <w:rFonts w:hint="eastAsia" w:ascii="仿宋" w:hAnsi="仿宋" w:eastAsia="仿宋" w:cs="仿宋"/>
          <w:color w:val="000000" w:themeColor="text1"/>
          <w:sz w:val="32"/>
          <w:szCs w:val="32"/>
          <w14:textFill>
            <w14:solidFill>
              <w14:schemeClr w14:val="tx1"/>
            </w14:solidFill>
          </w14:textFill>
        </w:rPr>
        <w:t>（7）法律、法规以及规范性文件规定的其他禁止露天焚烧秸秆的时段。</w:t>
      </w:r>
    </w:p>
    <w:p w14:paraId="25831777">
      <w:pPr>
        <w:pStyle w:val="3"/>
        <w:numPr>
          <w:ilvl w:val="1"/>
          <w:numId w:val="0"/>
        </w:numPr>
        <w:ind w:firstLine="643" w:firstLineChars="200"/>
        <w:rPr>
          <w:rFonts w:ascii="楷体" w:hAnsi="楷体" w:eastAsia="楷体" w:cs="楷体"/>
          <w:color w:val="000000" w:themeColor="text1"/>
          <w:sz w:val="32"/>
          <w14:textFill>
            <w14:solidFill>
              <w14:schemeClr w14:val="tx1"/>
            </w14:solidFill>
          </w14:textFill>
        </w:rPr>
      </w:pPr>
      <w:bookmarkStart w:id="30" w:name="_Toc174515767"/>
      <w:bookmarkStart w:id="31" w:name="_Toc11943"/>
      <w:bookmarkStart w:id="32" w:name="_Toc28192"/>
      <w:bookmarkStart w:id="33" w:name="_Toc11702"/>
      <w:r>
        <w:rPr>
          <w:rFonts w:hint="eastAsia" w:ascii="楷体" w:hAnsi="楷体" w:eastAsia="楷体" w:cs="楷体"/>
          <w:color w:val="000000" w:themeColor="text1"/>
          <w:sz w:val="32"/>
          <w14:textFill>
            <w14:solidFill>
              <w14:schemeClr w14:val="tx1"/>
            </w14:solidFill>
          </w14:textFill>
        </w:rPr>
        <w:t>4.3禁烧区和限烧区划定方案</w:t>
      </w:r>
      <w:bookmarkEnd w:id="30"/>
    </w:p>
    <w:p w14:paraId="66BB87FD">
      <w:pPr>
        <w:ind w:firstLine="640"/>
        <w:rPr>
          <w:rFonts w:ascii="仿宋" w:hAnsi="仿宋" w:eastAsia="仿宋" w:cs="仿宋"/>
          <w:color w:val="000000" w:themeColor="text1"/>
          <w:sz w:val="32"/>
          <w:szCs w:val="32"/>
          <w14:textFill>
            <w14:solidFill>
              <w14:schemeClr w14:val="tx1"/>
            </w14:solidFill>
          </w14:textFill>
        </w:rPr>
      </w:pPr>
      <w:r>
        <w:rPr>
          <w:rFonts w:hint="eastAsia" w:ascii="仿宋" w:hAnsi="仿宋" w:eastAsia="仿宋" w:cs="仿宋"/>
          <w:color w:val="000000" w:themeColor="text1"/>
          <w:sz w:val="32"/>
          <w:szCs w:val="32"/>
          <w14:textFill>
            <w14:solidFill>
              <w14:schemeClr w14:val="tx1"/>
            </w14:solidFill>
          </w14:textFill>
        </w:rPr>
        <w:t>城步苗族自治县县域面积为258829.66公顷，本次划定秸秆禁烧区面积为161754.17公顷，占比为62.49%，其中儒林镇18709.60公顷，茅坪镇6383.06公顷，西岩镇10760.35公顷，丹口镇18551.85公顷五团镇7678.70公顷，长安营镇11786.70公顷，威溪乡2273.33公顷，白毛坪镇27772.96公顷，兰蓉乡2627.29公顷，汀坪乡14936.42公顷，蒋坊乡7101.34公顷，金紫乡1402.18公顷，西岩农场53.33公顷，土桥农场1069.41公顷，县种子园11.39公顷，云马林场7998.91公顷，南洞林场13123.05公顷，青界山林场1802.72公顷，燕子山林场530.57公顷，金紫山林场7181.00公顷；划定秸秆限烧区面积为2559.38公顷，占比为37.51%，其中儒林镇8077.99公顷，茅坪镇4848.43公顷，西岩镇5454.97公顷，丹口镇13476.97公顷，五团镇5442.20公顷，长安营镇6463.22公顷，威溪乡4258.45公顷，白毛坪镇4362.06公顷，兰蓉乡8679.07公顷，汀坪乡11092.51公顷，蒋坊乡1558.05公顷，金紫乡4023.16公顷，土桥农场193.42公顷，县种子园92.81公顷，云马林场2453.68公顷，南洞林场7910.39公顷，青界山林场5246.22公顷，燕子山林场2919.41公顷，金紫山林场522.49公顷。</w:t>
      </w:r>
    </w:p>
    <w:p w14:paraId="5254FD8B">
      <w:pPr>
        <w:ind w:firstLine="562"/>
        <w:rPr>
          <w:b/>
        </w:rPr>
      </w:pPr>
      <w:r>
        <w:rPr>
          <w:rFonts w:hint="eastAsia"/>
          <w:b/>
        </w:rPr>
        <w:t>城步苗族自治县秸秆露天禁烧区和限烧区一览表(单位：公顷)</w:t>
      </w:r>
    </w:p>
    <w:tbl>
      <w:tblPr>
        <w:tblStyle w:val="13"/>
        <w:tblW w:w="8958" w:type="dxa"/>
        <w:tblInd w:w="0" w:type="dxa"/>
        <w:tblLayout w:type="autofit"/>
        <w:tblCellMar>
          <w:top w:w="0" w:type="dxa"/>
          <w:left w:w="108" w:type="dxa"/>
          <w:bottom w:w="0" w:type="dxa"/>
          <w:right w:w="108" w:type="dxa"/>
        </w:tblCellMar>
      </w:tblPr>
      <w:tblGrid>
        <w:gridCol w:w="694"/>
        <w:gridCol w:w="1453"/>
        <w:gridCol w:w="1570"/>
        <w:gridCol w:w="1476"/>
        <w:gridCol w:w="1234"/>
        <w:gridCol w:w="1336"/>
        <w:gridCol w:w="1234"/>
      </w:tblGrid>
      <w:tr w14:paraId="5B0BDB37">
        <w:tblPrEx>
          <w:tblCellMar>
            <w:top w:w="0" w:type="dxa"/>
            <w:left w:w="108" w:type="dxa"/>
            <w:bottom w:w="0" w:type="dxa"/>
            <w:right w:w="108" w:type="dxa"/>
          </w:tblCellMar>
        </w:tblPrEx>
        <w:trPr>
          <w:trHeight w:val="392" w:hRule="atLeast"/>
          <w:tblHeader/>
        </w:trPr>
        <w:tc>
          <w:tcPr>
            <w:tcW w:w="694" w:type="dxa"/>
            <w:tcBorders>
              <w:top w:val="single" w:color="auto" w:sz="4" w:space="0"/>
              <w:left w:val="single" w:color="auto" w:sz="4" w:space="0"/>
              <w:bottom w:val="single" w:color="auto" w:sz="4" w:space="0"/>
              <w:right w:val="single" w:color="auto" w:sz="4" w:space="0"/>
            </w:tcBorders>
            <w:shd w:val="clear" w:color="auto" w:fill="auto"/>
            <w:noWrap/>
            <w:vAlign w:val="center"/>
          </w:tcPr>
          <w:p w14:paraId="2299FDCB">
            <w:pPr>
              <w:widowControl/>
              <w:spacing w:line="240" w:lineRule="auto"/>
              <w:ind w:firstLine="0" w:firstLineChars="0"/>
              <w:jc w:val="center"/>
              <w:rPr>
                <w:rFonts w:ascii="仿宋" w:hAnsi="仿宋" w:eastAsia="仿宋" w:cs="宋体"/>
                <w:kern w:val="0"/>
                <w:szCs w:val="28"/>
              </w:rPr>
            </w:pPr>
            <w:r>
              <w:rPr>
                <w:rFonts w:hint="eastAsia" w:ascii="仿宋" w:hAnsi="仿宋" w:eastAsia="仿宋" w:cs="宋体"/>
                <w:kern w:val="0"/>
                <w:szCs w:val="28"/>
              </w:rPr>
              <w:t>序号</w:t>
            </w:r>
          </w:p>
        </w:tc>
        <w:tc>
          <w:tcPr>
            <w:tcW w:w="1453" w:type="dxa"/>
            <w:tcBorders>
              <w:top w:val="single" w:color="auto" w:sz="4" w:space="0"/>
              <w:left w:val="nil"/>
              <w:bottom w:val="single" w:color="auto" w:sz="4" w:space="0"/>
              <w:right w:val="single" w:color="auto" w:sz="4" w:space="0"/>
            </w:tcBorders>
            <w:shd w:val="clear" w:color="auto" w:fill="auto"/>
            <w:noWrap/>
            <w:vAlign w:val="center"/>
          </w:tcPr>
          <w:p w14:paraId="4D6032EE">
            <w:pPr>
              <w:widowControl/>
              <w:spacing w:line="240" w:lineRule="auto"/>
              <w:ind w:firstLine="0" w:firstLineChars="0"/>
              <w:jc w:val="center"/>
              <w:rPr>
                <w:rFonts w:ascii="仿宋" w:hAnsi="仿宋" w:eastAsia="仿宋" w:cs="宋体"/>
                <w:kern w:val="0"/>
                <w:szCs w:val="28"/>
              </w:rPr>
            </w:pPr>
            <w:r>
              <w:rPr>
                <w:rFonts w:hint="eastAsia" w:ascii="仿宋" w:hAnsi="仿宋" w:eastAsia="仿宋" w:cs="宋体"/>
                <w:kern w:val="0"/>
                <w:szCs w:val="28"/>
              </w:rPr>
              <w:t>行政区</w:t>
            </w:r>
          </w:p>
        </w:tc>
        <w:tc>
          <w:tcPr>
            <w:tcW w:w="1570" w:type="dxa"/>
            <w:tcBorders>
              <w:top w:val="single" w:color="auto" w:sz="4" w:space="0"/>
              <w:left w:val="nil"/>
              <w:bottom w:val="single" w:color="auto" w:sz="4" w:space="0"/>
              <w:right w:val="single" w:color="auto" w:sz="4" w:space="0"/>
            </w:tcBorders>
            <w:shd w:val="clear" w:color="auto" w:fill="auto"/>
            <w:noWrap/>
            <w:vAlign w:val="center"/>
          </w:tcPr>
          <w:p w14:paraId="74D02C7E">
            <w:pPr>
              <w:widowControl/>
              <w:spacing w:line="240" w:lineRule="auto"/>
              <w:ind w:firstLine="0" w:firstLineChars="0"/>
              <w:jc w:val="center"/>
              <w:rPr>
                <w:rFonts w:ascii="仿宋" w:hAnsi="仿宋" w:eastAsia="仿宋" w:cs="宋体"/>
                <w:kern w:val="0"/>
                <w:szCs w:val="28"/>
              </w:rPr>
            </w:pPr>
            <w:r>
              <w:rPr>
                <w:rFonts w:hint="eastAsia" w:ascii="仿宋" w:hAnsi="仿宋" w:eastAsia="仿宋" w:cs="宋体"/>
                <w:kern w:val="0"/>
                <w:szCs w:val="28"/>
              </w:rPr>
              <w:t>行政区面积</w:t>
            </w:r>
          </w:p>
        </w:tc>
        <w:tc>
          <w:tcPr>
            <w:tcW w:w="1456" w:type="dxa"/>
            <w:tcBorders>
              <w:top w:val="single" w:color="auto" w:sz="4" w:space="0"/>
              <w:left w:val="nil"/>
              <w:bottom w:val="single" w:color="auto" w:sz="4" w:space="0"/>
              <w:right w:val="single" w:color="auto" w:sz="4" w:space="0"/>
            </w:tcBorders>
            <w:shd w:val="clear" w:color="auto" w:fill="auto"/>
            <w:noWrap/>
            <w:vAlign w:val="center"/>
          </w:tcPr>
          <w:p w14:paraId="19B8BC4F">
            <w:pPr>
              <w:widowControl/>
              <w:spacing w:line="240" w:lineRule="auto"/>
              <w:ind w:firstLine="0" w:firstLineChars="0"/>
              <w:jc w:val="center"/>
              <w:rPr>
                <w:rFonts w:ascii="仿宋" w:hAnsi="仿宋" w:eastAsia="仿宋" w:cs="宋体"/>
                <w:kern w:val="0"/>
                <w:szCs w:val="28"/>
              </w:rPr>
            </w:pPr>
            <w:r>
              <w:rPr>
                <w:rFonts w:hint="eastAsia" w:ascii="仿宋" w:hAnsi="仿宋" w:eastAsia="仿宋" w:cs="宋体"/>
                <w:kern w:val="0"/>
                <w:szCs w:val="28"/>
              </w:rPr>
              <w:t>禁烧区面积</w:t>
            </w:r>
          </w:p>
        </w:tc>
        <w:tc>
          <w:tcPr>
            <w:tcW w:w="1234" w:type="dxa"/>
            <w:tcBorders>
              <w:top w:val="single" w:color="auto" w:sz="4" w:space="0"/>
              <w:left w:val="nil"/>
              <w:bottom w:val="single" w:color="auto" w:sz="4" w:space="0"/>
              <w:right w:val="single" w:color="auto" w:sz="4" w:space="0"/>
            </w:tcBorders>
            <w:shd w:val="clear" w:color="auto" w:fill="auto"/>
            <w:noWrap/>
            <w:vAlign w:val="center"/>
          </w:tcPr>
          <w:p w14:paraId="31B54A51">
            <w:pPr>
              <w:widowControl/>
              <w:spacing w:line="240" w:lineRule="auto"/>
              <w:ind w:firstLine="0" w:firstLineChars="0"/>
              <w:jc w:val="center"/>
              <w:rPr>
                <w:rFonts w:ascii="仿宋" w:hAnsi="仿宋" w:eastAsia="仿宋" w:cs="宋体"/>
                <w:kern w:val="0"/>
                <w:szCs w:val="28"/>
              </w:rPr>
            </w:pPr>
            <w:r>
              <w:rPr>
                <w:rFonts w:hint="eastAsia" w:ascii="仿宋" w:hAnsi="仿宋" w:eastAsia="仿宋" w:cs="宋体"/>
                <w:kern w:val="0"/>
                <w:szCs w:val="28"/>
              </w:rPr>
              <w:t>禁烧区占比</w:t>
            </w:r>
          </w:p>
        </w:tc>
        <w:tc>
          <w:tcPr>
            <w:tcW w:w="1317" w:type="dxa"/>
            <w:tcBorders>
              <w:top w:val="single" w:color="auto" w:sz="4" w:space="0"/>
              <w:left w:val="nil"/>
              <w:bottom w:val="single" w:color="auto" w:sz="4" w:space="0"/>
              <w:right w:val="single" w:color="auto" w:sz="4" w:space="0"/>
            </w:tcBorders>
            <w:shd w:val="clear" w:color="auto" w:fill="auto"/>
            <w:noWrap/>
            <w:vAlign w:val="center"/>
          </w:tcPr>
          <w:p w14:paraId="0555F9BE">
            <w:pPr>
              <w:widowControl/>
              <w:spacing w:line="240" w:lineRule="auto"/>
              <w:ind w:firstLine="0" w:firstLineChars="0"/>
              <w:jc w:val="center"/>
              <w:rPr>
                <w:rFonts w:ascii="仿宋" w:hAnsi="仿宋" w:eastAsia="仿宋" w:cs="宋体"/>
                <w:kern w:val="0"/>
                <w:szCs w:val="28"/>
              </w:rPr>
            </w:pPr>
            <w:r>
              <w:rPr>
                <w:rFonts w:hint="eastAsia" w:ascii="仿宋" w:hAnsi="仿宋" w:eastAsia="仿宋" w:cs="宋体"/>
                <w:kern w:val="0"/>
                <w:szCs w:val="28"/>
              </w:rPr>
              <w:t>限烧区面积</w:t>
            </w:r>
          </w:p>
        </w:tc>
        <w:tc>
          <w:tcPr>
            <w:tcW w:w="1234" w:type="dxa"/>
            <w:tcBorders>
              <w:top w:val="single" w:color="auto" w:sz="4" w:space="0"/>
              <w:left w:val="nil"/>
              <w:bottom w:val="single" w:color="auto" w:sz="4" w:space="0"/>
              <w:right w:val="single" w:color="auto" w:sz="4" w:space="0"/>
            </w:tcBorders>
            <w:shd w:val="clear" w:color="auto" w:fill="auto"/>
            <w:noWrap/>
            <w:vAlign w:val="center"/>
          </w:tcPr>
          <w:p w14:paraId="4876BE68">
            <w:pPr>
              <w:widowControl/>
              <w:spacing w:line="240" w:lineRule="auto"/>
              <w:ind w:firstLine="0" w:firstLineChars="0"/>
              <w:jc w:val="center"/>
              <w:rPr>
                <w:rFonts w:ascii="仿宋" w:hAnsi="仿宋" w:eastAsia="仿宋" w:cs="宋体"/>
                <w:kern w:val="0"/>
                <w:szCs w:val="28"/>
              </w:rPr>
            </w:pPr>
            <w:r>
              <w:rPr>
                <w:rFonts w:hint="eastAsia" w:ascii="仿宋" w:hAnsi="仿宋" w:eastAsia="仿宋" w:cs="宋体"/>
                <w:kern w:val="0"/>
                <w:szCs w:val="28"/>
              </w:rPr>
              <w:t>限烧区占比</w:t>
            </w:r>
          </w:p>
        </w:tc>
      </w:tr>
      <w:tr w14:paraId="0E94D868">
        <w:tblPrEx>
          <w:tblCellMar>
            <w:top w:w="0" w:type="dxa"/>
            <w:left w:w="108" w:type="dxa"/>
            <w:bottom w:w="0" w:type="dxa"/>
            <w:right w:w="108" w:type="dxa"/>
          </w:tblCellMar>
        </w:tblPrEx>
        <w:trPr>
          <w:trHeight w:val="392" w:hRule="atLeast"/>
        </w:trPr>
        <w:tc>
          <w:tcPr>
            <w:tcW w:w="694" w:type="dxa"/>
            <w:tcBorders>
              <w:top w:val="nil"/>
              <w:left w:val="single" w:color="auto" w:sz="4" w:space="0"/>
              <w:bottom w:val="single" w:color="auto" w:sz="4" w:space="0"/>
              <w:right w:val="single" w:color="auto" w:sz="4" w:space="0"/>
            </w:tcBorders>
            <w:shd w:val="clear" w:color="auto" w:fill="auto"/>
            <w:noWrap/>
            <w:vAlign w:val="center"/>
          </w:tcPr>
          <w:p w14:paraId="5139F0C4">
            <w:pPr>
              <w:widowControl/>
              <w:spacing w:line="240" w:lineRule="auto"/>
              <w:ind w:firstLine="0" w:firstLineChars="0"/>
              <w:jc w:val="center"/>
              <w:rPr>
                <w:rFonts w:ascii="仿宋" w:hAnsi="仿宋" w:eastAsia="仿宋" w:cs="宋体"/>
                <w:kern w:val="0"/>
                <w:szCs w:val="28"/>
              </w:rPr>
            </w:pPr>
            <w:r>
              <w:rPr>
                <w:rFonts w:hint="eastAsia" w:ascii="仿宋" w:hAnsi="仿宋" w:eastAsia="仿宋" w:cs="宋体"/>
                <w:kern w:val="0"/>
                <w:szCs w:val="28"/>
              </w:rPr>
              <w:t>1</w:t>
            </w:r>
          </w:p>
        </w:tc>
        <w:tc>
          <w:tcPr>
            <w:tcW w:w="1453" w:type="dxa"/>
            <w:tcBorders>
              <w:top w:val="nil"/>
              <w:left w:val="nil"/>
              <w:bottom w:val="single" w:color="auto" w:sz="4" w:space="0"/>
              <w:right w:val="single" w:color="auto" w:sz="4" w:space="0"/>
            </w:tcBorders>
            <w:shd w:val="clear" w:color="auto" w:fill="auto"/>
            <w:noWrap/>
            <w:vAlign w:val="center"/>
          </w:tcPr>
          <w:p w14:paraId="6E548797">
            <w:pPr>
              <w:widowControl/>
              <w:spacing w:line="240" w:lineRule="auto"/>
              <w:ind w:firstLine="0" w:firstLineChars="0"/>
              <w:jc w:val="center"/>
              <w:rPr>
                <w:rFonts w:ascii="仿宋" w:hAnsi="仿宋" w:eastAsia="仿宋" w:cs="宋体"/>
                <w:kern w:val="0"/>
                <w:szCs w:val="28"/>
              </w:rPr>
            </w:pPr>
            <w:r>
              <w:rPr>
                <w:rFonts w:hint="eastAsia" w:ascii="仿宋" w:hAnsi="仿宋" w:eastAsia="仿宋" w:cs="宋体"/>
                <w:kern w:val="0"/>
                <w:szCs w:val="28"/>
              </w:rPr>
              <w:t>儒林镇</w:t>
            </w:r>
          </w:p>
        </w:tc>
        <w:tc>
          <w:tcPr>
            <w:tcW w:w="1570" w:type="dxa"/>
            <w:tcBorders>
              <w:top w:val="nil"/>
              <w:left w:val="nil"/>
              <w:bottom w:val="single" w:color="auto" w:sz="4" w:space="0"/>
              <w:right w:val="single" w:color="auto" w:sz="4" w:space="0"/>
            </w:tcBorders>
            <w:shd w:val="clear" w:color="auto" w:fill="auto"/>
            <w:noWrap/>
            <w:vAlign w:val="center"/>
          </w:tcPr>
          <w:p w14:paraId="72B56C17">
            <w:pPr>
              <w:widowControl/>
              <w:spacing w:line="240" w:lineRule="auto"/>
              <w:ind w:firstLine="0" w:firstLineChars="0"/>
              <w:jc w:val="center"/>
              <w:rPr>
                <w:rFonts w:ascii="仿宋" w:hAnsi="仿宋" w:eastAsia="仿宋" w:cs="宋体"/>
                <w:kern w:val="0"/>
                <w:szCs w:val="28"/>
              </w:rPr>
            </w:pPr>
            <w:r>
              <w:rPr>
                <w:rFonts w:hint="eastAsia" w:ascii="仿宋" w:hAnsi="仿宋" w:eastAsia="仿宋" w:cs="宋体"/>
                <w:kern w:val="0"/>
                <w:szCs w:val="28"/>
              </w:rPr>
              <w:t>26787.60</w:t>
            </w:r>
          </w:p>
        </w:tc>
        <w:tc>
          <w:tcPr>
            <w:tcW w:w="1456" w:type="dxa"/>
            <w:tcBorders>
              <w:top w:val="nil"/>
              <w:left w:val="nil"/>
              <w:bottom w:val="single" w:color="auto" w:sz="4" w:space="0"/>
              <w:right w:val="single" w:color="auto" w:sz="4" w:space="0"/>
            </w:tcBorders>
            <w:shd w:val="clear" w:color="auto" w:fill="auto"/>
            <w:noWrap/>
            <w:vAlign w:val="center"/>
          </w:tcPr>
          <w:p w14:paraId="25BF1EA5">
            <w:pPr>
              <w:widowControl/>
              <w:spacing w:line="240" w:lineRule="auto"/>
              <w:ind w:firstLine="0" w:firstLineChars="0"/>
              <w:jc w:val="center"/>
              <w:rPr>
                <w:rFonts w:ascii="仿宋" w:hAnsi="仿宋" w:eastAsia="仿宋" w:cs="宋体"/>
                <w:kern w:val="0"/>
                <w:szCs w:val="28"/>
              </w:rPr>
            </w:pPr>
            <w:r>
              <w:rPr>
                <w:rFonts w:hint="eastAsia" w:ascii="仿宋" w:hAnsi="仿宋" w:eastAsia="仿宋" w:cs="宋体"/>
                <w:kern w:val="0"/>
                <w:szCs w:val="28"/>
              </w:rPr>
              <w:t>18709.60</w:t>
            </w:r>
          </w:p>
        </w:tc>
        <w:tc>
          <w:tcPr>
            <w:tcW w:w="1234" w:type="dxa"/>
            <w:tcBorders>
              <w:top w:val="nil"/>
              <w:left w:val="nil"/>
              <w:bottom w:val="single" w:color="auto" w:sz="4" w:space="0"/>
              <w:right w:val="single" w:color="auto" w:sz="4" w:space="0"/>
            </w:tcBorders>
            <w:shd w:val="clear" w:color="auto" w:fill="auto"/>
            <w:noWrap/>
            <w:vAlign w:val="center"/>
          </w:tcPr>
          <w:p w14:paraId="18541FF4">
            <w:pPr>
              <w:widowControl/>
              <w:spacing w:line="240" w:lineRule="auto"/>
              <w:ind w:firstLine="0" w:firstLineChars="0"/>
              <w:jc w:val="center"/>
              <w:rPr>
                <w:rFonts w:ascii="仿宋" w:hAnsi="仿宋" w:eastAsia="仿宋" w:cs="宋体"/>
                <w:kern w:val="0"/>
                <w:szCs w:val="28"/>
              </w:rPr>
            </w:pPr>
            <w:r>
              <w:rPr>
                <w:rFonts w:hint="eastAsia" w:ascii="仿宋" w:hAnsi="仿宋" w:eastAsia="仿宋" w:cs="宋体"/>
                <w:kern w:val="0"/>
                <w:szCs w:val="28"/>
              </w:rPr>
              <w:t>69.84%</w:t>
            </w:r>
          </w:p>
        </w:tc>
        <w:tc>
          <w:tcPr>
            <w:tcW w:w="1317" w:type="dxa"/>
            <w:tcBorders>
              <w:top w:val="nil"/>
              <w:left w:val="nil"/>
              <w:bottom w:val="single" w:color="auto" w:sz="4" w:space="0"/>
              <w:right w:val="single" w:color="auto" w:sz="4" w:space="0"/>
            </w:tcBorders>
            <w:shd w:val="clear" w:color="auto" w:fill="auto"/>
            <w:noWrap/>
            <w:vAlign w:val="center"/>
          </w:tcPr>
          <w:p w14:paraId="5996B462">
            <w:pPr>
              <w:widowControl/>
              <w:spacing w:line="240" w:lineRule="auto"/>
              <w:ind w:firstLine="0" w:firstLineChars="0"/>
              <w:jc w:val="center"/>
              <w:rPr>
                <w:rFonts w:ascii="仿宋" w:hAnsi="仿宋" w:eastAsia="仿宋" w:cs="宋体"/>
                <w:kern w:val="0"/>
                <w:szCs w:val="28"/>
              </w:rPr>
            </w:pPr>
            <w:r>
              <w:rPr>
                <w:rFonts w:hint="eastAsia" w:ascii="仿宋" w:hAnsi="仿宋" w:eastAsia="仿宋" w:cs="宋体"/>
                <w:kern w:val="0"/>
                <w:szCs w:val="28"/>
              </w:rPr>
              <w:t>8077.99</w:t>
            </w:r>
          </w:p>
        </w:tc>
        <w:tc>
          <w:tcPr>
            <w:tcW w:w="1234" w:type="dxa"/>
            <w:tcBorders>
              <w:top w:val="nil"/>
              <w:left w:val="nil"/>
              <w:bottom w:val="single" w:color="auto" w:sz="4" w:space="0"/>
              <w:right w:val="single" w:color="auto" w:sz="4" w:space="0"/>
            </w:tcBorders>
            <w:shd w:val="clear" w:color="auto" w:fill="auto"/>
            <w:noWrap/>
            <w:vAlign w:val="center"/>
          </w:tcPr>
          <w:p w14:paraId="3152BD40">
            <w:pPr>
              <w:widowControl/>
              <w:spacing w:line="240" w:lineRule="auto"/>
              <w:ind w:firstLine="0" w:firstLineChars="0"/>
              <w:jc w:val="center"/>
              <w:rPr>
                <w:rFonts w:ascii="仿宋" w:hAnsi="仿宋" w:eastAsia="仿宋" w:cs="宋体"/>
                <w:kern w:val="0"/>
                <w:szCs w:val="28"/>
              </w:rPr>
            </w:pPr>
            <w:r>
              <w:rPr>
                <w:rFonts w:hint="eastAsia" w:ascii="仿宋" w:hAnsi="仿宋" w:eastAsia="仿宋" w:cs="宋体"/>
                <w:kern w:val="0"/>
                <w:szCs w:val="28"/>
              </w:rPr>
              <w:t>30.16%</w:t>
            </w:r>
          </w:p>
        </w:tc>
      </w:tr>
      <w:tr w14:paraId="767D18BA">
        <w:tblPrEx>
          <w:tblCellMar>
            <w:top w:w="0" w:type="dxa"/>
            <w:left w:w="108" w:type="dxa"/>
            <w:bottom w:w="0" w:type="dxa"/>
            <w:right w:w="108" w:type="dxa"/>
          </w:tblCellMar>
        </w:tblPrEx>
        <w:trPr>
          <w:trHeight w:val="392" w:hRule="atLeast"/>
        </w:trPr>
        <w:tc>
          <w:tcPr>
            <w:tcW w:w="694" w:type="dxa"/>
            <w:tcBorders>
              <w:top w:val="nil"/>
              <w:left w:val="single" w:color="auto" w:sz="4" w:space="0"/>
              <w:bottom w:val="single" w:color="auto" w:sz="4" w:space="0"/>
              <w:right w:val="single" w:color="auto" w:sz="4" w:space="0"/>
            </w:tcBorders>
            <w:shd w:val="clear" w:color="auto" w:fill="auto"/>
            <w:noWrap/>
            <w:vAlign w:val="center"/>
          </w:tcPr>
          <w:p w14:paraId="00E65C23">
            <w:pPr>
              <w:widowControl/>
              <w:spacing w:line="240" w:lineRule="auto"/>
              <w:ind w:firstLine="0" w:firstLineChars="0"/>
              <w:jc w:val="center"/>
              <w:rPr>
                <w:rFonts w:ascii="仿宋" w:hAnsi="仿宋" w:eastAsia="仿宋" w:cs="宋体"/>
                <w:kern w:val="0"/>
                <w:szCs w:val="28"/>
              </w:rPr>
            </w:pPr>
            <w:r>
              <w:rPr>
                <w:rFonts w:hint="eastAsia" w:ascii="仿宋" w:hAnsi="仿宋" w:eastAsia="仿宋" w:cs="宋体"/>
                <w:kern w:val="0"/>
                <w:szCs w:val="28"/>
              </w:rPr>
              <w:t>2</w:t>
            </w:r>
          </w:p>
        </w:tc>
        <w:tc>
          <w:tcPr>
            <w:tcW w:w="1453" w:type="dxa"/>
            <w:tcBorders>
              <w:top w:val="nil"/>
              <w:left w:val="nil"/>
              <w:bottom w:val="single" w:color="auto" w:sz="4" w:space="0"/>
              <w:right w:val="single" w:color="auto" w:sz="4" w:space="0"/>
            </w:tcBorders>
            <w:shd w:val="clear" w:color="auto" w:fill="auto"/>
            <w:noWrap/>
            <w:vAlign w:val="center"/>
          </w:tcPr>
          <w:p w14:paraId="015E7BFC">
            <w:pPr>
              <w:widowControl/>
              <w:spacing w:line="240" w:lineRule="auto"/>
              <w:ind w:firstLine="0" w:firstLineChars="0"/>
              <w:jc w:val="center"/>
              <w:rPr>
                <w:rFonts w:ascii="仿宋" w:hAnsi="仿宋" w:eastAsia="仿宋" w:cs="宋体"/>
                <w:kern w:val="0"/>
                <w:szCs w:val="28"/>
              </w:rPr>
            </w:pPr>
            <w:r>
              <w:rPr>
                <w:rFonts w:hint="eastAsia" w:ascii="仿宋" w:hAnsi="仿宋" w:eastAsia="仿宋" w:cs="宋体"/>
                <w:kern w:val="0"/>
                <w:szCs w:val="28"/>
              </w:rPr>
              <w:t>茅坪镇</w:t>
            </w:r>
          </w:p>
        </w:tc>
        <w:tc>
          <w:tcPr>
            <w:tcW w:w="1570" w:type="dxa"/>
            <w:tcBorders>
              <w:top w:val="nil"/>
              <w:left w:val="nil"/>
              <w:bottom w:val="single" w:color="auto" w:sz="4" w:space="0"/>
              <w:right w:val="single" w:color="auto" w:sz="4" w:space="0"/>
            </w:tcBorders>
            <w:shd w:val="clear" w:color="auto" w:fill="auto"/>
            <w:noWrap/>
            <w:vAlign w:val="center"/>
          </w:tcPr>
          <w:p w14:paraId="0A06D4E6">
            <w:pPr>
              <w:widowControl/>
              <w:spacing w:line="240" w:lineRule="auto"/>
              <w:ind w:firstLine="0" w:firstLineChars="0"/>
              <w:jc w:val="center"/>
              <w:rPr>
                <w:rFonts w:ascii="仿宋" w:hAnsi="仿宋" w:eastAsia="仿宋" w:cs="宋体"/>
                <w:kern w:val="0"/>
                <w:szCs w:val="28"/>
              </w:rPr>
            </w:pPr>
            <w:r>
              <w:rPr>
                <w:rFonts w:hint="eastAsia" w:ascii="仿宋" w:hAnsi="仿宋" w:eastAsia="仿宋" w:cs="宋体"/>
                <w:kern w:val="0"/>
                <w:szCs w:val="28"/>
              </w:rPr>
              <w:t>11231.48</w:t>
            </w:r>
          </w:p>
        </w:tc>
        <w:tc>
          <w:tcPr>
            <w:tcW w:w="1456" w:type="dxa"/>
            <w:tcBorders>
              <w:top w:val="nil"/>
              <w:left w:val="nil"/>
              <w:bottom w:val="single" w:color="auto" w:sz="4" w:space="0"/>
              <w:right w:val="single" w:color="auto" w:sz="4" w:space="0"/>
            </w:tcBorders>
            <w:shd w:val="clear" w:color="auto" w:fill="auto"/>
            <w:noWrap/>
            <w:vAlign w:val="center"/>
          </w:tcPr>
          <w:p w14:paraId="4C1FD0D4">
            <w:pPr>
              <w:widowControl/>
              <w:spacing w:line="240" w:lineRule="auto"/>
              <w:ind w:firstLine="0" w:firstLineChars="0"/>
              <w:jc w:val="center"/>
              <w:rPr>
                <w:rFonts w:ascii="仿宋" w:hAnsi="仿宋" w:eastAsia="仿宋" w:cs="宋体"/>
                <w:kern w:val="0"/>
                <w:szCs w:val="28"/>
              </w:rPr>
            </w:pPr>
            <w:r>
              <w:rPr>
                <w:rFonts w:hint="eastAsia" w:ascii="仿宋" w:hAnsi="仿宋" w:eastAsia="仿宋" w:cs="宋体"/>
                <w:kern w:val="0"/>
                <w:szCs w:val="28"/>
              </w:rPr>
              <w:t>6383.06</w:t>
            </w:r>
          </w:p>
        </w:tc>
        <w:tc>
          <w:tcPr>
            <w:tcW w:w="1234" w:type="dxa"/>
            <w:tcBorders>
              <w:top w:val="nil"/>
              <w:left w:val="nil"/>
              <w:bottom w:val="single" w:color="auto" w:sz="4" w:space="0"/>
              <w:right w:val="single" w:color="auto" w:sz="4" w:space="0"/>
            </w:tcBorders>
            <w:shd w:val="clear" w:color="auto" w:fill="auto"/>
            <w:noWrap/>
            <w:vAlign w:val="center"/>
          </w:tcPr>
          <w:p w14:paraId="2FD17EEF">
            <w:pPr>
              <w:widowControl/>
              <w:spacing w:line="240" w:lineRule="auto"/>
              <w:ind w:firstLine="0" w:firstLineChars="0"/>
              <w:jc w:val="center"/>
              <w:rPr>
                <w:rFonts w:ascii="仿宋" w:hAnsi="仿宋" w:eastAsia="仿宋" w:cs="宋体"/>
                <w:kern w:val="0"/>
                <w:szCs w:val="28"/>
              </w:rPr>
            </w:pPr>
            <w:r>
              <w:rPr>
                <w:rFonts w:hint="eastAsia" w:ascii="仿宋" w:hAnsi="仿宋" w:eastAsia="仿宋" w:cs="宋体"/>
                <w:kern w:val="0"/>
                <w:szCs w:val="28"/>
              </w:rPr>
              <w:t>56.83%</w:t>
            </w:r>
          </w:p>
        </w:tc>
        <w:tc>
          <w:tcPr>
            <w:tcW w:w="1317" w:type="dxa"/>
            <w:tcBorders>
              <w:top w:val="nil"/>
              <w:left w:val="nil"/>
              <w:bottom w:val="single" w:color="auto" w:sz="4" w:space="0"/>
              <w:right w:val="single" w:color="auto" w:sz="4" w:space="0"/>
            </w:tcBorders>
            <w:shd w:val="clear" w:color="auto" w:fill="auto"/>
            <w:noWrap/>
            <w:vAlign w:val="center"/>
          </w:tcPr>
          <w:p w14:paraId="5FB19FD5">
            <w:pPr>
              <w:widowControl/>
              <w:spacing w:line="240" w:lineRule="auto"/>
              <w:ind w:firstLine="0" w:firstLineChars="0"/>
              <w:jc w:val="center"/>
              <w:rPr>
                <w:rFonts w:ascii="仿宋" w:hAnsi="仿宋" w:eastAsia="仿宋" w:cs="宋体"/>
                <w:kern w:val="0"/>
                <w:szCs w:val="28"/>
              </w:rPr>
            </w:pPr>
            <w:r>
              <w:rPr>
                <w:rFonts w:hint="eastAsia" w:ascii="仿宋" w:hAnsi="仿宋" w:eastAsia="仿宋" w:cs="宋体"/>
                <w:kern w:val="0"/>
                <w:szCs w:val="28"/>
              </w:rPr>
              <w:t>4848.43</w:t>
            </w:r>
          </w:p>
        </w:tc>
        <w:tc>
          <w:tcPr>
            <w:tcW w:w="1234" w:type="dxa"/>
            <w:tcBorders>
              <w:top w:val="nil"/>
              <w:left w:val="nil"/>
              <w:bottom w:val="single" w:color="auto" w:sz="4" w:space="0"/>
              <w:right w:val="single" w:color="auto" w:sz="4" w:space="0"/>
            </w:tcBorders>
            <w:shd w:val="clear" w:color="auto" w:fill="auto"/>
            <w:noWrap/>
            <w:vAlign w:val="center"/>
          </w:tcPr>
          <w:p w14:paraId="68BA8B6F">
            <w:pPr>
              <w:widowControl/>
              <w:spacing w:line="240" w:lineRule="auto"/>
              <w:ind w:firstLine="0" w:firstLineChars="0"/>
              <w:jc w:val="center"/>
              <w:rPr>
                <w:rFonts w:ascii="仿宋" w:hAnsi="仿宋" w:eastAsia="仿宋" w:cs="宋体"/>
                <w:kern w:val="0"/>
                <w:szCs w:val="28"/>
              </w:rPr>
            </w:pPr>
            <w:r>
              <w:rPr>
                <w:rFonts w:hint="eastAsia" w:ascii="仿宋" w:hAnsi="仿宋" w:eastAsia="仿宋" w:cs="宋体"/>
                <w:kern w:val="0"/>
                <w:szCs w:val="28"/>
              </w:rPr>
              <w:t>43.17%</w:t>
            </w:r>
          </w:p>
        </w:tc>
      </w:tr>
      <w:tr w14:paraId="57D4B128">
        <w:tblPrEx>
          <w:tblCellMar>
            <w:top w:w="0" w:type="dxa"/>
            <w:left w:w="108" w:type="dxa"/>
            <w:bottom w:w="0" w:type="dxa"/>
            <w:right w:w="108" w:type="dxa"/>
          </w:tblCellMar>
        </w:tblPrEx>
        <w:trPr>
          <w:trHeight w:val="392" w:hRule="atLeast"/>
        </w:trPr>
        <w:tc>
          <w:tcPr>
            <w:tcW w:w="694" w:type="dxa"/>
            <w:tcBorders>
              <w:top w:val="nil"/>
              <w:left w:val="single" w:color="auto" w:sz="4" w:space="0"/>
              <w:bottom w:val="single" w:color="auto" w:sz="4" w:space="0"/>
              <w:right w:val="single" w:color="auto" w:sz="4" w:space="0"/>
            </w:tcBorders>
            <w:shd w:val="clear" w:color="auto" w:fill="auto"/>
            <w:noWrap/>
            <w:vAlign w:val="center"/>
          </w:tcPr>
          <w:p w14:paraId="4062DA89">
            <w:pPr>
              <w:widowControl/>
              <w:spacing w:line="240" w:lineRule="auto"/>
              <w:ind w:firstLine="0" w:firstLineChars="0"/>
              <w:jc w:val="center"/>
              <w:rPr>
                <w:rFonts w:ascii="仿宋" w:hAnsi="仿宋" w:eastAsia="仿宋" w:cs="宋体"/>
                <w:kern w:val="0"/>
                <w:szCs w:val="28"/>
              </w:rPr>
            </w:pPr>
            <w:r>
              <w:rPr>
                <w:rFonts w:hint="eastAsia" w:ascii="仿宋" w:hAnsi="仿宋" w:eastAsia="仿宋" w:cs="宋体"/>
                <w:kern w:val="0"/>
                <w:szCs w:val="28"/>
              </w:rPr>
              <w:t>3</w:t>
            </w:r>
          </w:p>
        </w:tc>
        <w:tc>
          <w:tcPr>
            <w:tcW w:w="1453" w:type="dxa"/>
            <w:tcBorders>
              <w:top w:val="nil"/>
              <w:left w:val="nil"/>
              <w:bottom w:val="single" w:color="auto" w:sz="4" w:space="0"/>
              <w:right w:val="single" w:color="auto" w:sz="4" w:space="0"/>
            </w:tcBorders>
            <w:shd w:val="clear" w:color="auto" w:fill="auto"/>
            <w:noWrap/>
            <w:vAlign w:val="center"/>
          </w:tcPr>
          <w:p w14:paraId="2BD3A3B0">
            <w:pPr>
              <w:widowControl/>
              <w:spacing w:line="240" w:lineRule="auto"/>
              <w:ind w:firstLine="0" w:firstLineChars="0"/>
              <w:jc w:val="center"/>
              <w:rPr>
                <w:rFonts w:ascii="仿宋" w:hAnsi="仿宋" w:eastAsia="仿宋" w:cs="宋体"/>
                <w:kern w:val="0"/>
                <w:szCs w:val="28"/>
              </w:rPr>
            </w:pPr>
            <w:r>
              <w:rPr>
                <w:rFonts w:hint="eastAsia" w:ascii="仿宋" w:hAnsi="仿宋" w:eastAsia="仿宋" w:cs="宋体"/>
                <w:kern w:val="0"/>
                <w:szCs w:val="28"/>
              </w:rPr>
              <w:t>西岩镇</w:t>
            </w:r>
          </w:p>
        </w:tc>
        <w:tc>
          <w:tcPr>
            <w:tcW w:w="1570" w:type="dxa"/>
            <w:tcBorders>
              <w:top w:val="nil"/>
              <w:left w:val="nil"/>
              <w:bottom w:val="single" w:color="auto" w:sz="4" w:space="0"/>
              <w:right w:val="single" w:color="auto" w:sz="4" w:space="0"/>
            </w:tcBorders>
            <w:shd w:val="clear" w:color="auto" w:fill="auto"/>
            <w:noWrap/>
            <w:vAlign w:val="center"/>
          </w:tcPr>
          <w:p w14:paraId="702A6AE6">
            <w:pPr>
              <w:widowControl/>
              <w:spacing w:line="240" w:lineRule="auto"/>
              <w:ind w:firstLine="0" w:firstLineChars="0"/>
              <w:jc w:val="center"/>
              <w:rPr>
                <w:rFonts w:ascii="仿宋" w:hAnsi="仿宋" w:eastAsia="仿宋" w:cs="宋体"/>
                <w:kern w:val="0"/>
                <w:szCs w:val="28"/>
              </w:rPr>
            </w:pPr>
            <w:r>
              <w:rPr>
                <w:rFonts w:hint="eastAsia" w:ascii="仿宋" w:hAnsi="仿宋" w:eastAsia="仿宋" w:cs="宋体"/>
                <w:kern w:val="0"/>
                <w:szCs w:val="28"/>
              </w:rPr>
              <w:t>16215.33</w:t>
            </w:r>
          </w:p>
        </w:tc>
        <w:tc>
          <w:tcPr>
            <w:tcW w:w="1456" w:type="dxa"/>
            <w:tcBorders>
              <w:top w:val="nil"/>
              <w:left w:val="nil"/>
              <w:bottom w:val="single" w:color="auto" w:sz="4" w:space="0"/>
              <w:right w:val="single" w:color="auto" w:sz="4" w:space="0"/>
            </w:tcBorders>
            <w:shd w:val="clear" w:color="auto" w:fill="auto"/>
            <w:noWrap/>
            <w:vAlign w:val="center"/>
          </w:tcPr>
          <w:p w14:paraId="24A86607">
            <w:pPr>
              <w:widowControl/>
              <w:spacing w:line="240" w:lineRule="auto"/>
              <w:ind w:firstLine="0" w:firstLineChars="0"/>
              <w:jc w:val="center"/>
              <w:rPr>
                <w:rFonts w:ascii="仿宋" w:hAnsi="仿宋" w:eastAsia="仿宋" w:cs="宋体"/>
                <w:kern w:val="0"/>
                <w:szCs w:val="28"/>
              </w:rPr>
            </w:pPr>
            <w:r>
              <w:rPr>
                <w:rFonts w:hint="eastAsia" w:ascii="仿宋" w:hAnsi="仿宋" w:eastAsia="仿宋" w:cs="宋体"/>
                <w:kern w:val="0"/>
                <w:szCs w:val="28"/>
              </w:rPr>
              <w:t>10760.35</w:t>
            </w:r>
          </w:p>
        </w:tc>
        <w:tc>
          <w:tcPr>
            <w:tcW w:w="1234" w:type="dxa"/>
            <w:tcBorders>
              <w:top w:val="nil"/>
              <w:left w:val="nil"/>
              <w:bottom w:val="single" w:color="auto" w:sz="4" w:space="0"/>
              <w:right w:val="single" w:color="auto" w:sz="4" w:space="0"/>
            </w:tcBorders>
            <w:shd w:val="clear" w:color="auto" w:fill="auto"/>
            <w:noWrap/>
            <w:vAlign w:val="center"/>
          </w:tcPr>
          <w:p w14:paraId="00425DEE">
            <w:pPr>
              <w:widowControl/>
              <w:spacing w:line="240" w:lineRule="auto"/>
              <w:ind w:firstLine="0" w:firstLineChars="0"/>
              <w:jc w:val="center"/>
              <w:rPr>
                <w:rFonts w:ascii="仿宋" w:hAnsi="仿宋" w:eastAsia="仿宋" w:cs="宋体"/>
                <w:kern w:val="0"/>
                <w:szCs w:val="28"/>
              </w:rPr>
            </w:pPr>
            <w:r>
              <w:rPr>
                <w:rFonts w:hint="eastAsia" w:ascii="仿宋" w:hAnsi="仿宋" w:eastAsia="仿宋" w:cs="宋体"/>
                <w:kern w:val="0"/>
                <w:szCs w:val="28"/>
              </w:rPr>
              <w:t>66.36%</w:t>
            </w:r>
          </w:p>
        </w:tc>
        <w:tc>
          <w:tcPr>
            <w:tcW w:w="1317" w:type="dxa"/>
            <w:tcBorders>
              <w:top w:val="nil"/>
              <w:left w:val="nil"/>
              <w:bottom w:val="single" w:color="auto" w:sz="4" w:space="0"/>
              <w:right w:val="single" w:color="auto" w:sz="4" w:space="0"/>
            </w:tcBorders>
            <w:shd w:val="clear" w:color="auto" w:fill="auto"/>
            <w:noWrap/>
            <w:vAlign w:val="center"/>
          </w:tcPr>
          <w:p w14:paraId="2954EBBD">
            <w:pPr>
              <w:widowControl/>
              <w:spacing w:line="240" w:lineRule="auto"/>
              <w:ind w:firstLine="0" w:firstLineChars="0"/>
              <w:jc w:val="center"/>
              <w:rPr>
                <w:rFonts w:ascii="仿宋" w:hAnsi="仿宋" w:eastAsia="仿宋" w:cs="宋体"/>
                <w:kern w:val="0"/>
                <w:szCs w:val="28"/>
              </w:rPr>
            </w:pPr>
            <w:r>
              <w:rPr>
                <w:rFonts w:hint="eastAsia" w:ascii="仿宋" w:hAnsi="仿宋" w:eastAsia="仿宋" w:cs="宋体"/>
                <w:kern w:val="0"/>
                <w:szCs w:val="28"/>
              </w:rPr>
              <w:t>5454.97</w:t>
            </w:r>
          </w:p>
        </w:tc>
        <w:tc>
          <w:tcPr>
            <w:tcW w:w="1234" w:type="dxa"/>
            <w:tcBorders>
              <w:top w:val="nil"/>
              <w:left w:val="nil"/>
              <w:bottom w:val="single" w:color="auto" w:sz="4" w:space="0"/>
              <w:right w:val="single" w:color="auto" w:sz="4" w:space="0"/>
            </w:tcBorders>
            <w:shd w:val="clear" w:color="auto" w:fill="auto"/>
            <w:noWrap/>
            <w:vAlign w:val="center"/>
          </w:tcPr>
          <w:p w14:paraId="6FF57FF1">
            <w:pPr>
              <w:widowControl/>
              <w:spacing w:line="240" w:lineRule="auto"/>
              <w:ind w:firstLine="0" w:firstLineChars="0"/>
              <w:jc w:val="center"/>
              <w:rPr>
                <w:rFonts w:ascii="仿宋" w:hAnsi="仿宋" w:eastAsia="仿宋" w:cs="宋体"/>
                <w:kern w:val="0"/>
                <w:szCs w:val="28"/>
              </w:rPr>
            </w:pPr>
            <w:r>
              <w:rPr>
                <w:rFonts w:hint="eastAsia" w:ascii="仿宋" w:hAnsi="仿宋" w:eastAsia="仿宋" w:cs="宋体"/>
                <w:kern w:val="0"/>
                <w:szCs w:val="28"/>
              </w:rPr>
              <w:t>33.64%</w:t>
            </w:r>
          </w:p>
        </w:tc>
      </w:tr>
      <w:tr w14:paraId="3132EF34">
        <w:tblPrEx>
          <w:tblCellMar>
            <w:top w:w="0" w:type="dxa"/>
            <w:left w:w="108" w:type="dxa"/>
            <w:bottom w:w="0" w:type="dxa"/>
            <w:right w:w="108" w:type="dxa"/>
          </w:tblCellMar>
        </w:tblPrEx>
        <w:trPr>
          <w:trHeight w:val="392" w:hRule="atLeast"/>
        </w:trPr>
        <w:tc>
          <w:tcPr>
            <w:tcW w:w="694" w:type="dxa"/>
            <w:tcBorders>
              <w:top w:val="nil"/>
              <w:left w:val="single" w:color="auto" w:sz="4" w:space="0"/>
              <w:bottom w:val="single" w:color="auto" w:sz="4" w:space="0"/>
              <w:right w:val="single" w:color="auto" w:sz="4" w:space="0"/>
            </w:tcBorders>
            <w:shd w:val="clear" w:color="auto" w:fill="auto"/>
            <w:noWrap/>
            <w:vAlign w:val="center"/>
          </w:tcPr>
          <w:p w14:paraId="4707492B">
            <w:pPr>
              <w:widowControl/>
              <w:spacing w:line="240" w:lineRule="auto"/>
              <w:ind w:firstLine="0" w:firstLineChars="0"/>
              <w:jc w:val="center"/>
              <w:rPr>
                <w:rFonts w:ascii="仿宋" w:hAnsi="仿宋" w:eastAsia="仿宋" w:cs="宋体"/>
                <w:kern w:val="0"/>
                <w:szCs w:val="28"/>
              </w:rPr>
            </w:pPr>
            <w:r>
              <w:rPr>
                <w:rFonts w:hint="eastAsia" w:ascii="仿宋" w:hAnsi="仿宋" w:eastAsia="仿宋" w:cs="宋体"/>
                <w:kern w:val="0"/>
                <w:szCs w:val="28"/>
              </w:rPr>
              <w:t>4</w:t>
            </w:r>
          </w:p>
        </w:tc>
        <w:tc>
          <w:tcPr>
            <w:tcW w:w="1453" w:type="dxa"/>
            <w:tcBorders>
              <w:top w:val="nil"/>
              <w:left w:val="nil"/>
              <w:bottom w:val="single" w:color="auto" w:sz="4" w:space="0"/>
              <w:right w:val="single" w:color="auto" w:sz="4" w:space="0"/>
            </w:tcBorders>
            <w:shd w:val="clear" w:color="auto" w:fill="auto"/>
            <w:noWrap/>
            <w:vAlign w:val="center"/>
          </w:tcPr>
          <w:p w14:paraId="6EFDC1FB">
            <w:pPr>
              <w:widowControl/>
              <w:spacing w:line="240" w:lineRule="auto"/>
              <w:ind w:firstLine="0" w:firstLineChars="0"/>
              <w:jc w:val="center"/>
              <w:rPr>
                <w:rFonts w:ascii="仿宋" w:hAnsi="仿宋" w:eastAsia="仿宋" w:cs="宋体"/>
                <w:kern w:val="0"/>
                <w:szCs w:val="28"/>
              </w:rPr>
            </w:pPr>
            <w:r>
              <w:rPr>
                <w:rFonts w:hint="eastAsia" w:ascii="仿宋" w:hAnsi="仿宋" w:eastAsia="仿宋" w:cs="宋体"/>
                <w:kern w:val="0"/>
                <w:szCs w:val="28"/>
              </w:rPr>
              <w:t>丹口镇</w:t>
            </w:r>
          </w:p>
        </w:tc>
        <w:tc>
          <w:tcPr>
            <w:tcW w:w="1570" w:type="dxa"/>
            <w:tcBorders>
              <w:top w:val="nil"/>
              <w:left w:val="nil"/>
              <w:bottom w:val="single" w:color="auto" w:sz="4" w:space="0"/>
              <w:right w:val="single" w:color="auto" w:sz="4" w:space="0"/>
            </w:tcBorders>
            <w:shd w:val="clear" w:color="auto" w:fill="auto"/>
            <w:noWrap/>
            <w:vAlign w:val="center"/>
          </w:tcPr>
          <w:p w14:paraId="1CAC2FBB">
            <w:pPr>
              <w:widowControl/>
              <w:spacing w:line="240" w:lineRule="auto"/>
              <w:ind w:firstLine="0" w:firstLineChars="0"/>
              <w:jc w:val="center"/>
              <w:rPr>
                <w:rFonts w:ascii="仿宋" w:hAnsi="仿宋" w:eastAsia="仿宋" w:cs="宋体"/>
                <w:kern w:val="0"/>
                <w:szCs w:val="28"/>
              </w:rPr>
            </w:pPr>
            <w:r>
              <w:rPr>
                <w:rFonts w:hint="eastAsia" w:ascii="仿宋" w:hAnsi="仿宋" w:eastAsia="仿宋" w:cs="宋体"/>
                <w:kern w:val="0"/>
                <w:szCs w:val="28"/>
              </w:rPr>
              <w:t>32028.82</w:t>
            </w:r>
          </w:p>
        </w:tc>
        <w:tc>
          <w:tcPr>
            <w:tcW w:w="1456" w:type="dxa"/>
            <w:tcBorders>
              <w:top w:val="nil"/>
              <w:left w:val="nil"/>
              <w:bottom w:val="single" w:color="auto" w:sz="4" w:space="0"/>
              <w:right w:val="single" w:color="auto" w:sz="4" w:space="0"/>
            </w:tcBorders>
            <w:shd w:val="clear" w:color="auto" w:fill="auto"/>
            <w:noWrap/>
            <w:vAlign w:val="center"/>
          </w:tcPr>
          <w:p w14:paraId="34281AF5">
            <w:pPr>
              <w:widowControl/>
              <w:spacing w:line="240" w:lineRule="auto"/>
              <w:ind w:firstLine="0" w:firstLineChars="0"/>
              <w:jc w:val="center"/>
              <w:rPr>
                <w:rFonts w:ascii="仿宋" w:hAnsi="仿宋" w:eastAsia="仿宋" w:cs="宋体"/>
                <w:kern w:val="0"/>
                <w:szCs w:val="28"/>
              </w:rPr>
            </w:pPr>
            <w:r>
              <w:rPr>
                <w:rFonts w:hint="eastAsia" w:ascii="仿宋" w:hAnsi="仿宋" w:eastAsia="仿宋" w:cs="宋体"/>
                <w:kern w:val="0"/>
                <w:szCs w:val="28"/>
              </w:rPr>
              <w:t>18551.85</w:t>
            </w:r>
          </w:p>
        </w:tc>
        <w:tc>
          <w:tcPr>
            <w:tcW w:w="1234" w:type="dxa"/>
            <w:tcBorders>
              <w:top w:val="nil"/>
              <w:left w:val="nil"/>
              <w:bottom w:val="single" w:color="auto" w:sz="4" w:space="0"/>
              <w:right w:val="single" w:color="auto" w:sz="4" w:space="0"/>
            </w:tcBorders>
            <w:shd w:val="clear" w:color="auto" w:fill="auto"/>
            <w:noWrap/>
            <w:vAlign w:val="center"/>
          </w:tcPr>
          <w:p w14:paraId="58148C72">
            <w:pPr>
              <w:widowControl/>
              <w:spacing w:line="240" w:lineRule="auto"/>
              <w:ind w:firstLine="0" w:firstLineChars="0"/>
              <w:jc w:val="center"/>
              <w:rPr>
                <w:rFonts w:ascii="仿宋" w:hAnsi="仿宋" w:eastAsia="仿宋" w:cs="宋体"/>
                <w:kern w:val="0"/>
                <w:szCs w:val="28"/>
              </w:rPr>
            </w:pPr>
            <w:r>
              <w:rPr>
                <w:rFonts w:hint="eastAsia" w:ascii="仿宋" w:hAnsi="仿宋" w:eastAsia="仿宋" w:cs="宋体"/>
                <w:kern w:val="0"/>
                <w:szCs w:val="28"/>
              </w:rPr>
              <w:t>57.92%</w:t>
            </w:r>
          </w:p>
        </w:tc>
        <w:tc>
          <w:tcPr>
            <w:tcW w:w="1317" w:type="dxa"/>
            <w:tcBorders>
              <w:top w:val="nil"/>
              <w:left w:val="nil"/>
              <w:bottom w:val="single" w:color="auto" w:sz="4" w:space="0"/>
              <w:right w:val="single" w:color="auto" w:sz="4" w:space="0"/>
            </w:tcBorders>
            <w:shd w:val="clear" w:color="auto" w:fill="auto"/>
            <w:noWrap/>
            <w:vAlign w:val="center"/>
          </w:tcPr>
          <w:p w14:paraId="2A310738">
            <w:pPr>
              <w:widowControl/>
              <w:spacing w:line="240" w:lineRule="auto"/>
              <w:ind w:firstLine="0" w:firstLineChars="0"/>
              <w:jc w:val="center"/>
              <w:rPr>
                <w:rFonts w:ascii="仿宋" w:hAnsi="仿宋" w:eastAsia="仿宋" w:cs="宋体"/>
                <w:kern w:val="0"/>
                <w:szCs w:val="28"/>
              </w:rPr>
            </w:pPr>
            <w:r>
              <w:rPr>
                <w:rFonts w:hint="eastAsia" w:ascii="仿宋" w:hAnsi="仿宋" w:eastAsia="仿宋" w:cs="宋体"/>
                <w:kern w:val="0"/>
                <w:szCs w:val="28"/>
              </w:rPr>
              <w:t>13476.97</w:t>
            </w:r>
          </w:p>
        </w:tc>
        <w:tc>
          <w:tcPr>
            <w:tcW w:w="1234" w:type="dxa"/>
            <w:tcBorders>
              <w:top w:val="nil"/>
              <w:left w:val="nil"/>
              <w:bottom w:val="single" w:color="auto" w:sz="4" w:space="0"/>
              <w:right w:val="single" w:color="auto" w:sz="4" w:space="0"/>
            </w:tcBorders>
            <w:shd w:val="clear" w:color="auto" w:fill="auto"/>
            <w:noWrap/>
            <w:vAlign w:val="center"/>
          </w:tcPr>
          <w:p w14:paraId="7B60F87A">
            <w:pPr>
              <w:widowControl/>
              <w:spacing w:line="240" w:lineRule="auto"/>
              <w:ind w:firstLine="0" w:firstLineChars="0"/>
              <w:jc w:val="center"/>
              <w:rPr>
                <w:rFonts w:ascii="仿宋" w:hAnsi="仿宋" w:eastAsia="仿宋" w:cs="宋体"/>
                <w:kern w:val="0"/>
                <w:szCs w:val="28"/>
              </w:rPr>
            </w:pPr>
            <w:r>
              <w:rPr>
                <w:rFonts w:hint="eastAsia" w:ascii="仿宋" w:hAnsi="仿宋" w:eastAsia="仿宋" w:cs="宋体"/>
                <w:kern w:val="0"/>
                <w:szCs w:val="28"/>
              </w:rPr>
              <w:t>42.08%</w:t>
            </w:r>
          </w:p>
        </w:tc>
      </w:tr>
      <w:tr w14:paraId="2A4C54E9">
        <w:tblPrEx>
          <w:tblCellMar>
            <w:top w:w="0" w:type="dxa"/>
            <w:left w:w="108" w:type="dxa"/>
            <w:bottom w:w="0" w:type="dxa"/>
            <w:right w:w="108" w:type="dxa"/>
          </w:tblCellMar>
        </w:tblPrEx>
        <w:trPr>
          <w:trHeight w:val="392" w:hRule="atLeast"/>
        </w:trPr>
        <w:tc>
          <w:tcPr>
            <w:tcW w:w="694" w:type="dxa"/>
            <w:tcBorders>
              <w:top w:val="nil"/>
              <w:left w:val="single" w:color="auto" w:sz="4" w:space="0"/>
              <w:bottom w:val="single" w:color="auto" w:sz="4" w:space="0"/>
              <w:right w:val="single" w:color="auto" w:sz="4" w:space="0"/>
            </w:tcBorders>
            <w:shd w:val="clear" w:color="auto" w:fill="auto"/>
            <w:noWrap/>
            <w:vAlign w:val="center"/>
          </w:tcPr>
          <w:p w14:paraId="42D2E423">
            <w:pPr>
              <w:widowControl/>
              <w:spacing w:line="240" w:lineRule="auto"/>
              <w:ind w:firstLine="0" w:firstLineChars="0"/>
              <w:jc w:val="center"/>
              <w:rPr>
                <w:rFonts w:ascii="仿宋" w:hAnsi="仿宋" w:eastAsia="仿宋" w:cs="宋体"/>
                <w:kern w:val="0"/>
                <w:szCs w:val="28"/>
              </w:rPr>
            </w:pPr>
            <w:r>
              <w:rPr>
                <w:rFonts w:hint="eastAsia" w:ascii="仿宋" w:hAnsi="仿宋" w:eastAsia="仿宋" w:cs="宋体"/>
                <w:kern w:val="0"/>
                <w:szCs w:val="28"/>
              </w:rPr>
              <w:t>5</w:t>
            </w:r>
          </w:p>
        </w:tc>
        <w:tc>
          <w:tcPr>
            <w:tcW w:w="1453" w:type="dxa"/>
            <w:tcBorders>
              <w:top w:val="nil"/>
              <w:left w:val="nil"/>
              <w:bottom w:val="single" w:color="auto" w:sz="4" w:space="0"/>
              <w:right w:val="single" w:color="auto" w:sz="4" w:space="0"/>
            </w:tcBorders>
            <w:shd w:val="clear" w:color="auto" w:fill="auto"/>
            <w:noWrap/>
            <w:vAlign w:val="center"/>
          </w:tcPr>
          <w:p w14:paraId="14604637">
            <w:pPr>
              <w:widowControl/>
              <w:spacing w:line="240" w:lineRule="auto"/>
              <w:ind w:firstLine="0" w:firstLineChars="0"/>
              <w:jc w:val="center"/>
              <w:rPr>
                <w:rFonts w:ascii="仿宋" w:hAnsi="仿宋" w:eastAsia="仿宋" w:cs="宋体"/>
                <w:kern w:val="0"/>
                <w:szCs w:val="28"/>
              </w:rPr>
            </w:pPr>
            <w:r>
              <w:rPr>
                <w:rFonts w:hint="eastAsia" w:ascii="仿宋" w:hAnsi="仿宋" w:eastAsia="仿宋" w:cs="宋体"/>
                <w:kern w:val="0"/>
                <w:szCs w:val="28"/>
              </w:rPr>
              <w:t>五团镇</w:t>
            </w:r>
          </w:p>
        </w:tc>
        <w:tc>
          <w:tcPr>
            <w:tcW w:w="1570" w:type="dxa"/>
            <w:tcBorders>
              <w:top w:val="nil"/>
              <w:left w:val="nil"/>
              <w:bottom w:val="single" w:color="auto" w:sz="4" w:space="0"/>
              <w:right w:val="single" w:color="auto" w:sz="4" w:space="0"/>
            </w:tcBorders>
            <w:shd w:val="clear" w:color="auto" w:fill="auto"/>
            <w:noWrap/>
            <w:vAlign w:val="center"/>
          </w:tcPr>
          <w:p w14:paraId="772F1814">
            <w:pPr>
              <w:widowControl/>
              <w:spacing w:line="240" w:lineRule="auto"/>
              <w:ind w:firstLine="0" w:firstLineChars="0"/>
              <w:jc w:val="center"/>
              <w:rPr>
                <w:rFonts w:ascii="仿宋" w:hAnsi="仿宋" w:eastAsia="仿宋" w:cs="宋体"/>
                <w:kern w:val="0"/>
                <w:szCs w:val="28"/>
              </w:rPr>
            </w:pPr>
            <w:r>
              <w:rPr>
                <w:rFonts w:hint="eastAsia" w:ascii="仿宋" w:hAnsi="仿宋" w:eastAsia="仿宋" w:cs="宋体"/>
                <w:kern w:val="0"/>
                <w:szCs w:val="28"/>
              </w:rPr>
              <w:t>13120.90</w:t>
            </w:r>
          </w:p>
        </w:tc>
        <w:tc>
          <w:tcPr>
            <w:tcW w:w="1456" w:type="dxa"/>
            <w:tcBorders>
              <w:top w:val="nil"/>
              <w:left w:val="nil"/>
              <w:bottom w:val="single" w:color="auto" w:sz="4" w:space="0"/>
              <w:right w:val="single" w:color="auto" w:sz="4" w:space="0"/>
            </w:tcBorders>
            <w:shd w:val="clear" w:color="auto" w:fill="auto"/>
            <w:noWrap/>
            <w:vAlign w:val="center"/>
          </w:tcPr>
          <w:p w14:paraId="5E2D88A9">
            <w:pPr>
              <w:widowControl/>
              <w:spacing w:line="240" w:lineRule="auto"/>
              <w:ind w:firstLine="0" w:firstLineChars="0"/>
              <w:jc w:val="center"/>
              <w:rPr>
                <w:rFonts w:ascii="仿宋" w:hAnsi="仿宋" w:eastAsia="仿宋" w:cs="宋体"/>
                <w:kern w:val="0"/>
                <w:szCs w:val="28"/>
              </w:rPr>
            </w:pPr>
            <w:r>
              <w:rPr>
                <w:rFonts w:hint="eastAsia" w:ascii="仿宋" w:hAnsi="仿宋" w:eastAsia="仿宋" w:cs="宋体"/>
                <w:kern w:val="0"/>
                <w:szCs w:val="28"/>
              </w:rPr>
              <w:t>7678.70</w:t>
            </w:r>
          </w:p>
        </w:tc>
        <w:tc>
          <w:tcPr>
            <w:tcW w:w="1234" w:type="dxa"/>
            <w:tcBorders>
              <w:top w:val="nil"/>
              <w:left w:val="nil"/>
              <w:bottom w:val="single" w:color="auto" w:sz="4" w:space="0"/>
              <w:right w:val="single" w:color="auto" w:sz="4" w:space="0"/>
            </w:tcBorders>
            <w:shd w:val="clear" w:color="auto" w:fill="auto"/>
            <w:noWrap/>
            <w:vAlign w:val="center"/>
          </w:tcPr>
          <w:p w14:paraId="2091CB62">
            <w:pPr>
              <w:widowControl/>
              <w:spacing w:line="240" w:lineRule="auto"/>
              <w:ind w:firstLine="0" w:firstLineChars="0"/>
              <w:jc w:val="center"/>
              <w:rPr>
                <w:rFonts w:ascii="仿宋" w:hAnsi="仿宋" w:eastAsia="仿宋" w:cs="宋体"/>
                <w:kern w:val="0"/>
                <w:szCs w:val="28"/>
              </w:rPr>
            </w:pPr>
            <w:r>
              <w:rPr>
                <w:rFonts w:hint="eastAsia" w:ascii="仿宋" w:hAnsi="仿宋" w:eastAsia="仿宋" w:cs="宋体"/>
                <w:kern w:val="0"/>
                <w:szCs w:val="28"/>
              </w:rPr>
              <w:t>58.52%</w:t>
            </w:r>
          </w:p>
        </w:tc>
        <w:tc>
          <w:tcPr>
            <w:tcW w:w="1317" w:type="dxa"/>
            <w:tcBorders>
              <w:top w:val="nil"/>
              <w:left w:val="nil"/>
              <w:bottom w:val="single" w:color="auto" w:sz="4" w:space="0"/>
              <w:right w:val="single" w:color="auto" w:sz="4" w:space="0"/>
            </w:tcBorders>
            <w:shd w:val="clear" w:color="auto" w:fill="auto"/>
            <w:noWrap/>
            <w:vAlign w:val="center"/>
          </w:tcPr>
          <w:p w14:paraId="4A7804E1">
            <w:pPr>
              <w:widowControl/>
              <w:spacing w:line="240" w:lineRule="auto"/>
              <w:ind w:firstLine="0" w:firstLineChars="0"/>
              <w:jc w:val="center"/>
              <w:rPr>
                <w:rFonts w:ascii="仿宋" w:hAnsi="仿宋" w:eastAsia="仿宋" w:cs="宋体"/>
                <w:kern w:val="0"/>
                <w:szCs w:val="28"/>
              </w:rPr>
            </w:pPr>
            <w:r>
              <w:rPr>
                <w:rFonts w:hint="eastAsia" w:ascii="仿宋" w:hAnsi="仿宋" w:eastAsia="仿宋" w:cs="宋体"/>
                <w:kern w:val="0"/>
                <w:szCs w:val="28"/>
              </w:rPr>
              <w:t>5442.20</w:t>
            </w:r>
          </w:p>
        </w:tc>
        <w:tc>
          <w:tcPr>
            <w:tcW w:w="1234" w:type="dxa"/>
            <w:tcBorders>
              <w:top w:val="nil"/>
              <w:left w:val="nil"/>
              <w:bottom w:val="single" w:color="auto" w:sz="4" w:space="0"/>
              <w:right w:val="single" w:color="auto" w:sz="4" w:space="0"/>
            </w:tcBorders>
            <w:shd w:val="clear" w:color="auto" w:fill="auto"/>
            <w:noWrap/>
            <w:vAlign w:val="center"/>
          </w:tcPr>
          <w:p w14:paraId="43565D6A">
            <w:pPr>
              <w:widowControl/>
              <w:spacing w:line="240" w:lineRule="auto"/>
              <w:ind w:firstLine="0" w:firstLineChars="0"/>
              <w:jc w:val="center"/>
              <w:rPr>
                <w:rFonts w:ascii="仿宋" w:hAnsi="仿宋" w:eastAsia="仿宋" w:cs="宋体"/>
                <w:kern w:val="0"/>
                <w:szCs w:val="28"/>
              </w:rPr>
            </w:pPr>
            <w:r>
              <w:rPr>
                <w:rFonts w:hint="eastAsia" w:ascii="仿宋" w:hAnsi="仿宋" w:eastAsia="仿宋" w:cs="宋体"/>
                <w:kern w:val="0"/>
                <w:szCs w:val="28"/>
              </w:rPr>
              <w:t>41.48%</w:t>
            </w:r>
          </w:p>
        </w:tc>
      </w:tr>
      <w:tr w14:paraId="1E3CABC5">
        <w:tblPrEx>
          <w:tblCellMar>
            <w:top w:w="0" w:type="dxa"/>
            <w:left w:w="108" w:type="dxa"/>
            <w:bottom w:w="0" w:type="dxa"/>
            <w:right w:w="108" w:type="dxa"/>
          </w:tblCellMar>
        </w:tblPrEx>
        <w:trPr>
          <w:trHeight w:val="392" w:hRule="atLeast"/>
        </w:trPr>
        <w:tc>
          <w:tcPr>
            <w:tcW w:w="694" w:type="dxa"/>
            <w:tcBorders>
              <w:top w:val="nil"/>
              <w:left w:val="single" w:color="auto" w:sz="4" w:space="0"/>
              <w:bottom w:val="single" w:color="auto" w:sz="4" w:space="0"/>
              <w:right w:val="single" w:color="auto" w:sz="4" w:space="0"/>
            </w:tcBorders>
            <w:shd w:val="clear" w:color="auto" w:fill="auto"/>
            <w:noWrap/>
            <w:vAlign w:val="center"/>
          </w:tcPr>
          <w:p w14:paraId="11712EF3">
            <w:pPr>
              <w:widowControl/>
              <w:spacing w:line="240" w:lineRule="auto"/>
              <w:ind w:firstLine="0" w:firstLineChars="0"/>
              <w:jc w:val="center"/>
              <w:rPr>
                <w:rFonts w:ascii="仿宋" w:hAnsi="仿宋" w:eastAsia="仿宋" w:cs="宋体"/>
                <w:kern w:val="0"/>
                <w:szCs w:val="28"/>
              </w:rPr>
            </w:pPr>
            <w:r>
              <w:rPr>
                <w:rFonts w:hint="eastAsia" w:ascii="仿宋" w:hAnsi="仿宋" w:eastAsia="仿宋" w:cs="宋体"/>
                <w:kern w:val="0"/>
                <w:szCs w:val="28"/>
              </w:rPr>
              <w:t>6</w:t>
            </w:r>
          </w:p>
        </w:tc>
        <w:tc>
          <w:tcPr>
            <w:tcW w:w="1453" w:type="dxa"/>
            <w:tcBorders>
              <w:top w:val="nil"/>
              <w:left w:val="nil"/>
              <w:bottom w:val="single" w:color="auto" w:sz="4" w:space="0"/>
              <w:right w:val="single" w:color="auto" w:sz="4" w:space="0"/>
            </w:tcBorders>
            <w:shd w:val="clear" w:color="auto" w:fill="auto"/>
            <w:noWrap/>
            <w:vAlign w:val="center"/>
          </w:tcPr>
          <w:p w14:paraId="691F6053">
            <w:pPr>
              <w:widowControl/>
              <w:spacing w:line="240" w:lineRule="auto"/>
              <w:ind w:firstLine="0" w:firstLineChars="0"/>
              <w:jc w:val="center"/>
              <w:rPr>
                <w:rFonts w:ascii="仿宋" w:hAnsi="仿宋" w:eastAsia="仿宋" w:cs="宋体"/>
                <w:kern w:val="0"/>
                <w:szCs w:val="28"/>
              </w:rPr>
            </w:pPr>
            <w:r>
              <w:rPr>
                <w:rFonts w:hint="eastAsia" w:ascii="仿宋" w:hAnsi="仿宋" w:eastAsia="仿宋" w:cs="宋体"/>
                <w:kern w:val="0"/>
                <w:szCs w:val="28"/>
              </w:rPr>
              <w:t>长安营镇</w:t>
            </w:r>
          </w:p>
        </w:tc>
        <w:tc>
          <w:tcPr>
            <w:tcW w:w="1570" w:type="dxa"/>
            <w:tcBorders>
              <w:top w:val="nil"/>
              <w:left w:val="nil"/>
              <w:bottom w:val="single" w:color="auto" w:sz="4" w:space="0"/>
              <w:right w:val="single" w:color="auto" w:sz="4" w:space="0"/>
            </w:tcBorders>
            <w:shd w:val="clear" w:color="auto" w:fill="auto"/>
            <w:noWrap/>
            <w:vAlign w:val="center"/>
          </w:tcPr>
          <w:p w14:paraId="2AB748C6">
            <w:pPr>
              <w:widowControl/>
              <w:spacing w:line="240" w:lineRule="auto"/>
              <w:ind w:firstLine="0" w:firstLineChars="0"/>
              <w:jc w:val="center"/>
              <w:rPr>
                <w:rFonts w:ascii="仿宋" w:hAnsi="仿宋" w:eastAsia="仿宋" w:cs="宋体"/>
                <w:kern w:val="0"/>
                <w:szCs w:val="28"/>
              </w:rPr>
            </w:pPr>
            <w:r>
              <w:rPr>
                <w:rFonts w:hint="eastAsia" w:ascii="仿宋" w:hAnsi="仿宋" w:eastAsia="仿宋" w:cs="宋体"/>
                <w:kern w:val="0"/>
                <w:szCs w:val="28"/>
              </w:rPr>
              <w:t>18249.92</w:t>
            </w:r>
          </w:p>
        </w:tc>
        <w:tc>
          <w:tcPr>
            <w:tcW w:w="1456" w:type="dxa"/>
            <w:tcBorders>
              <w:top w:val="nil"/>
              <w:left w:val="nil"/>
              <w:bottom w:val="single" w:color="auto" w:sz="4" w:space="0"/>
              <w:right w:val="single" w:color="auto" w:sz="4" w:space="0"/>
            </w:tcBorders>
            <w:shd w:val="clear" w:color="auto" w:fill="auto"/>
            <w:noWrap/>
            <w:vAlign w:val="center"/>
          </w:tcPr>
          <w:p w14:paraId="0909BC08">
            <w:pPr>
              <w:widowControl/>
              <w:spacing w:line="240" w:lineRule="auto"/>
              <w:ind w:firstLine="0" w:firstLineChars="0"/>
              <w:jc w:val="center"/>
              <w:rPr>
                <w:rFonts w:ascii="仿宋" w:hAnsi="仿宋" w:eastAsia="仿宋" w:cs="宋体"/>
                <w:kern w:val="0"/>
                <w:szCs w:val="28"/>
              </w:rPr>
            </w:pPr>
            <w:r>
              <w:rPr>
                <w:rFonts w:hint="eastAsia" w:ascii="仿宋" w:hAnsi="仿宋" w:eastAsia="仿宋" w:cs="宋体"/>
                <w:kern w:val="0"/>
                <w:szCs w:val="28"/>
              </w:rPr>
              <w:t>11786.70</w:t>
            </w:r>
          </w:p>
        </w:tc>
        <w:tc>
          <w:tcPr>
            <w:tcW w:w="1234" w:type="dxa"/>
            <w:tcBorders>
              <w:top w:val="nil"/>
              <w:left w:val="nil"/>
              <w:bottom w:val="single" w:color="auto" w:sz="4" w:space="0"/>
              <w:right w:val="single" w:color="auto" w:sz="4" w:space="0"/>
            </w:tcBorders>
            <w:shd w:val="clear" w:color="auto" w:fill="auto"/>
            <w:noWrap/>
            <w:vAlign w:val="center"/>
          </w:tcPr>
          <w:p w14:paraId="04395B37">
            <w:pPr>
              <w:widowControl/>
              <w:spacing w:line="240" w:lineRule="auto"/>
              <w:ind w:firstLine="0" w:firstLineChars="0"/>
              <w:jc w:val="center"/>
              <w:rPr>
                <w:rFonts w:ascii="仿宋" w:hAnsi="仿宋" w:eastAsia="仿宋" w:cs="宋体"/>
                <w:kern w:val="0"/>
                <w:szCs w:val="28"/>
              </w:rPr>
            </w:pPr>
            <w:r>
              <w:rPr>
                <w:rFonts w:hint="eastAsia" w:ascii="仿宋" w:hAnsi="仿宋" w:eastAsia="仿宋" w:cs="宋体"/>
                <w:kern w:val="0"/>
                <w:szCs w:val="28"/>
              </w:rPr>
              <w:t>64.58%</w:t>
            </w:r>
          </w:p>
        </w:tc>
        <w:tc>
          <w:tcPr>
            <w:tcW w:w="1317" w:type="dxa"/>
            <w:tcBorders>
              <w:top w:val="nil"/>
              <w:left w:val="nil"/>
              <w:bottom w:val="single" w:color="auto" w:sz="4" w:space="0"/>
              <w:right w:val="single" w:color="auto" w:sz="4" w:space="0"/>
            </w:tcBorders>
            <w:shd w:val="clear" w:color="auto" w:fill="auto"/>
            <w:noWrap/>
            <w:vAlign w:val="center"/>
          </w:tcPr>
          <w:p w14:paraId="59F3F769">
            <w:pPr>
              <w:widowControl/>
              <w:spacing w:line="240" w:lineRule="auto"/>
              <w:ind w:firstLine="0" w:firstLineChars="0"/>
              <w:jc w:val="center"/>
              <w:rPr>
                <w:rFonts w:ascii="仿宋" w:hAnsi="仿宋" w:eastAsia="仿宋" w:cs="宋体"/>
                <w:kern w:val="0"/>
                <w:szCs w:val="28"/>
              </w:rPr>
            </w:pPr>
            <w:r>
              <w:rPr>
                <w:rFonts w:hint="eastAsia" w:ascii="仿宋" w:hAnsi="仿宋" w:eastAsia="仿宋" w:cs="宋体"/>
                <w:kern w:val="0"/>
                <w:szCs w:val="28"/>
              </w:rPr>
              <w:t>6463.22</w:t>
            </w:r>
          </w:p>
        </w:tc>
        <w:tc>
          <w:tcPr>
            <w:tcW w:w="1234" w:type="dxa"/>
            <w:tcBorders>
              <w:top w:val="nil"/>
              <w:left w:val="nil"/>
              <w:bottom w:val="single" w:color="auto" w:sz="4" w:space="0"/>
              <w:right w:val="single" w:color="auto" w:sz="4" w:space="0"/>
            </w:tcBorders>
            <w:shd w:val="clear" w:color="auto" w:fill="auto"/>
            <w:noWrap/>
            <w:vAlign w:val="center"/>
          </w:tcPr>
          <w:p w14:paraId="677FB999">
            <w:pPr>
              <w:widowControl/>
              <w:spacing w:line="240" w:lineRule="auto"/>
              <w:ind w:firstLine="0" w:firstLineChars="0"/>
              <w:jc w:val="center"/>
              <w:rPr>
                <w:rFonts w:ascii="仿宋" w:hAnsi="仿宋" w:eastAsia="仿宋" w:cs="宋体"/>
                <w:kern w:val="0"/>
                <w:szCs w:val="28"/>
              </w:rPr>
            </w:pPr>
            <w:r>
              <w:rPr>
                <w:rFonts w:hint="eastAsia" w:ascii="仿宋" w:hAnsi="仿宋" w:eastAsia="仿宋" w:cs="宋体"/>
                <w:kern w:val="0"/>
                <w:szCs w:val="28"/>
              </w:rPr>
              <w:t>35.42%</w:t>
            </w:r>
          </w:p>
        </w:tc>
      </w:tr>
      <w:tr w14:paraId="2CA8FF4C">
        <w:tblPrEx>
          <w:tblCellMar>
            <w:top w:w="0" w:type="dxa"/>
            <w:left w:w="108" w:type="dxa"/>
            <w:bottom w:w="0" w:type="dxa"/>
            <w:right w:w="108" w:type="dxa"/>
          </w:tblCellMar>
        </w:tblPrEx>
        <w:trPr>
          <w:trHeight w:val="392" w:hRule="atLeast"/>
        </w:trPr>
        <w:tc>
          <w:tcPr>
            <w:tcW w:w="694" w:type="dxa"/>
            <w:tcBorders>
              <w:top w:val="nil"/>
              <w:left w:val="single" w:color="auto" w:sz="4" w:space="0"/>
              <w:bottom w:val="single" w:color="auto" w:sz="4" w:space="0"/>
              <w:right w:val="single" w:color="auto" w:sz="4" w:space="0"/>
            </w:tcBorders>
            <w:shd w:val="clear" w:color="auto" w:fill="auto"/>
            <w:noWrap/>
            <w:vAlign w:val="center"/>
          </w:tcPr>
          <w:p w14:paraId="3C98F143">
            <w:pPr>
              <w:widowControl/>
              <w:spacing w:line="240" w:lineRule="auto"/>
              <w:ind w:firstLine="0" w:firstLineChars="0"/>
              <w:jc w:val="center"/>
              <w:rPr>
                <w:rFonts w:ascii="仿宋" w:hAnsi="仿宋" w:eastAsia="仿宋" w:cs="宋体"/>
                <w:kern w:val="0"/>
                <w:szCs w:val="28"/>
              </w:rPr>
            </w:pPr>
            <w:r>
              <w:rPr>
                <w:rFonts w:hint="eastAsia" w:ascii="仿宋" w:hAnsi="仿宋" w:eastAsia="仿宋" w:cs="宋体"/>
                <w:kern w:val="0"/>
                <w:szCs w:val="28"/>
              </w:rPr>
              <w:t>7</w:t>
            </w:r>
          </w:p>
        </w:tc>
        <w:tc>
          <w:tcPr>
            <w:tcW w:w="1453" w:type="dxa"/>
            <w:tcBorders>
              <w:top w:val="nil"/>
              <w:left w:val="nil"/>
              <w:bottom w:val="single" w:color="auto" w:sz="4" w:space="0"/>
              <w:right w:val="single" w:color="auto" w:sz="4" w:space="0"/>
            </w:tcBorders>
            <w:shd w:val="clear" w:color="auto" w:fill="auto"/>
            <w:noWrap/>
            <w:vAlign w:val="center"/>
          </w:tcPr>
          <w:p w14:paraId="3B986387">
            <w:pPr>
              <w:widowControl/>
              <w:spacing w:line="240" w:lineRule="auto"/>
              <w:ind w:firstLine="0" w:firstLineChars="0"/>
              <w:jc w:val="center"/>
              <w:rPr>
                <w:rFonts w:ascii="仿宋" w:hAnsi="仿宋" w:eastAsia="仿宋" w:cs="宋体"/>
                <w:kern w:val="0"/>
                <w:szCs w:val="28"/>
              </w:rPr>
            </w:pPr>
            <w:r>
              <w:rPr>
                <w:rFonts w:hint="eastAsia" w:ascii="仿宋" w:hAnsi="仿宋" w:eastAsia="仿宋" w:cs="宋体"/>
                <w:kern w:val="0"/>
                <w:szCs w:val="28"/>
              </w:rPr>
              <w:t>威溪乡</w:t>
            </w:r>
          </w:p>
        </w:tc>
        <w:tc>
          <w:tcPr>
            <w:tcW w:w="1570" w:type="dxa"/>
            <w:tcBorders>
              <w:top w:val="nil"/>
              <w:left w:val="nil"/>
              <w:bottom w:val="single" w:color="auto" w:sz="4" w:space="0"/>
              <w:right w:val="single" w:color="auto" w:sz="4" w:space="0"/>
            </w:tcBorders>
            <w:shd w:val="clear" w:color="auto" w:fill="auto"/>
            <w:noWrap/>
            <w:vAlign w:val="center"/>
          </w:tcPr>
          <w:p w14:paraId="3D1855A2">
            <w:pPr>
              <w:widowControl/>
              <w:spacing w:line="240" w:lineRule="auto"/>
              <w:ind w:firstLine="0" w:firstLineChars="0"/>
              <w:jc w:val="center"/>
              <w:rPr>
                <w:rFonts w:ascii="仿宋" w:hAnsi="仿宋" w:eastAsia="仿宋" w:cs="宋体"/>
                <w:kern w:val="0"/>
                <w:szCs w:val="28"/>
              </w:rPr>
            </w:pPr>
            <w:r>
              <w:rPr>
                <w:rFonts w:hint="eastAsia" w:ascii="仿宋" w:hAnsi="仿宋" w:eastAsia="仿宋" w:cs="宋体"/>
                <w:kern w:val="0"/>
                <w:szCs w:val="28"/>
              </w:rPr>
              <w:t>6531.78</w:t>
            </w:r>
          </w:p>
        </w:tc>
        <w:tc>
          <w:tcPr>
            <w:tcW w:w="1456" w:type="dxa"/>
            <w:tcBorders>
              <w:top w:val="nil"/>
              <w:left w:val="nil"/>
              <w:bottom w:val="single" w:color="auto" w:sz="4" w:space="0"/>
              <w:right w:val="single" w:color="auto" w:sz="4" w:space="0"/>
            </w:tcBorders>
            <w:shd w:val="clear" w:color="auto" w:fill="auto"/>
            <w:noWrap/>
            <w:vAlign w:val="center"/>
          </w:tcPr>
          <w:p w14:paraId="2E67A6E3">
            <w:pPr>
              <w:widowControl/>
              <w:spacing w:line="240" w:lineRule="auto"/>
              <w:ind w:firstLine="0" w:firstLineChars="0"/>
              <w:jc w:val="center"/>
              <w:rPr>
                <w:rFonts w:ascii="仿宋" w:hAnsi="仿宋" w:eastAsia="仿宋" w:cs="宋体"/>
                <w:kern w:val="0"/>
                <w:szCs w:val="28"/>
              </w:rPr>
            </w:pPr>
            <w:r>
              <w:rPr>
                <w:rFonts w:hint="eastAsia" w:ascii="仿宋" w:hAnsi="仿宋" w:eastAsia="仿宋" w:cs="宋体"/>
                <w:kern w:val="0"/>
                <w:szCs w:val="28"/>
              </w:rPr>
              <w:t>2273.33</w:t>
            </w:r>
          </w:p>
        </w:tc>
        <w:tc>
          <w:tcPr>
            <w:tcW w:w="1234" w:type="dxa"/>
            <w:tcBorders>
              <w:top w:val="nil"/>
              <w:left w:val="nil"/>
              <w:bottom w:val="single" w:color="auto" w:sz="4" w:space="0"/>
              <w:right w:val="single" w:color="auto" w:sz="4" w:space="0"/>
            </w:tcBorders>
            <w:shd w:val="clear" w:color="auto" w:fill="auto"/>
            <w:noWrap/>
            <w:vAlign w:val="center"/>
          </w:tcPr>
          <w:p w14:paraId="6039FDC2">
            <w:pPr>
              <w:widowControl/>
              <w:spacing w:line="240" w:lineRule="auto"/>
              <w:ind w:firstLine="0" w:firstLineChars="0"/>
              <w:jc w:val="center"/>
              <w:rPr>
                <w:rFonts w:ascii="仿宋" w:hAnsi="仿宋" w:eastAsia="仿宋" w:cs="宋体"/>
                <w:kern w:val="0"/>
                <w:szCs w:val="28"/>
              </w:rPr>
            </w:pPr>
            <w:r>
              <w:rPr>
                <w:rFonts w:hint="eastAsia" w:ascii="仿宋" w:hAnsi="仿宋" w:eastAsia="仿宋" w:cs="宋体"/>
                <w:kern w:val="0"/>
                <w:szCs w:val="28"/>
              </w:rPr>
              <w:t>34.80%</w:t>
            </w:r>
          </w:p>
        </w:tc>
        <w:tc>
          <w:tcPr>
            <w:tcW w:w="1317" w:type="dxa"/>
            <w:tcBorders>
              <w:top w:val="nil"/>
              <w:left w:val="nil"/>
              <w:bottom w:val="single" w:color="auto" w:sz="4" w:space="0"/>
              <w:right w:val="single" w:color="auto" w:sz="4" w:space="0"/>
            </w:tcBorders>
            <w:shd w:val="clear" w:color="auto" w:fill="auto"/>
            <w:noWrap/>
            <w:vAlign w:val="center"/>
          </w:tcPr>
          <w:p w14:paraId="30691402">
            <w:pPr>
              <w:widowControl/>
              <w:spacing w:line="240" w:lineRule="auto"/>
              <w:ind w:firstLine="0" w:firstLineChars="0"/>
              <w:jc w:val="center"/>
              <w:rPr>
                <w:rFonts w:ascii="仿宋" w:hAnsi="仿宋" w:eastAsia="仿宋" w:cs="宋体"/>
                <w:kern w:val="0"/>
                <w:szCs w:val="28"/>
              </w:rPr>
            </w:pPr>
            <w:r>
              <w:rPr>
                <w:rFonts w:hint="eastAsia" w:ascii="仿宋" w:hAnsi="仿宋" w:eastAsia="仿宋" w:cs="宋体"/>
                <w:kern w:val="0"/>
                <w:szCs w:val="28"/>
              </w:rPr>
              <w:t>4258.45</w:t>
            </w:r>
          </w:p>
        </w:tc>
        <w:tc>
          <w:tcPr>
            <w:tcW w:w="1234" w:type="dxa"/>
            <w:tcBorders>
              <w:top w:val="nil"/>
              <w:left w:val="nil"/>
              <w:bottom w:val="single" w:color="auto" w:sz="4" w:space="0"/>
              <w:right w:val="single" w:color="auto" w:sz="4" w:space="0"/>
            </w:tcBorders>
            <w:shd w:val="clear" w:color="auto" w:fill="auto"/>
            <w:noWrap/>
            <w:vAlign w:val="center"/>
          </w:tcPr>
          <w:p w14:paraId="412DCEE7">
            <w:pPr>
              <w:widowControl/>
              <w:spacing w:line="240" w:lineRule="auto"/>
              <w:ind w:firstLine="0" w:firstLineChars="0"/>
              <w:jc w:val="center"/>
              <w:rPr>
                <w:rFonts w:ascii="仿宋" w:hAnsi="仿宋" w:eastAsia="仿宋" w:cs="宋体"/>
                <w:kern w:val="0"/>
                <w:szCs w:val="28"/>
              </w:rPr>
            </w:pPr>
            <w:r>
              <w:rPr>
                <w:rFonts w:hint="eastAsia" w:ascii="仿宋" w:hAnsi="仿宋" w:eastAsia="仿宋" w:cs="宋体"/>
                <w:kern w:val="0"/>
                <w:szCs w:val="28"/>
              </w:rPr>
              <w:t>65.20%</w:t>
            </w:r>
          </w:p>
        </w:tc>
      </w:tr>
      <w:tr w14:paraId="6EFB28A5">
        <w:tblPrEx>
          <w:tblCellMar>
            <w:top w:w="0" w:type="dxa"/>
            <w:left w:w="108" w:type="dxa"/>
            <w:bottom w:w="0" w:type="dxa"/>
            <w:right w:w="108" w:type="dxa"/>
          </w:tblCellMar>
        </w:tblPrEx>
        <w:trPr>
          <w:trHeight w:val="392" w:hRule="atLeast"/>
        </w:trPr>
        <w:tc>
          <w:tcPr>
            <w:tcW w:w="694" w:type="dxa"/>
            <w:tcBorders>
              <w:top w:val="nil"/>
              <w:left w:val="single" w:color="auto" w:sz="4" w:space="0"/>
              <w:bottom w:val="single" w:color="auto" w:sz="4" w:space="0"/>
              <w:right w:val="single" w:color="auto" w:sz="4" w:space="0"/>
            </w:tcBorders>
            <w:shd w:val="clear" w:color="auto" w:fill="auto"/>
            <w:noWrap/>
            <w:vAlign w:val="center"/>
          </w:tcPr>
          <w:p w14:paraId="309D7E2B">
            <w:pPr>
              <w:widowControl/>
              <w:spacing w:line="240" w:lineRule="auto"/>
              <w:ind w:firstLine="0" w:firstLineChars="0"/>
              <w:jc w:val="center"/>
              <w:rPr>
                <w:rFonts w:ascii="仿宋" w:hAnsi="仿宋" w:eastAsia="仿宋" w:cs="宋体"/>
                <w:kern w:val="0"/>
                <w:szCs w:val="28"/>
              </w:rPr>
            </w:pPr>
            <w:r>
              <w:rPr>
                <w:rFonts w:hint="eastAsia" w:ascii="仿宋" w:hAnsi="仿宋" w:eastAsia="仿宋" w:cs="宋体"/>
                <w:kern w:val="0"/>
                <w:szCs w:val="28"/>
              </w:rPr>
              <w:t>8</w:t>
            </w:r>
          </w:p>
        </w:tc>
        <w:tc>
          <w:tcPr>
            <w:tcW w:w="1453" w:type="dxa"/>
            <w:tcBorders>
              <w:top w:val="nil"/>
              <w:left w:val="nil"/>
              <w:bottom w:val="single" w:color="auto" w:sz="4" w:space="0"/>
              <w:right w:val="single" w:color="auto" w:sz="4" w:space="0"/>
            </w:tcBorders>
            <w:shd w:val="clear" w:color="auto" w:fill="auto"/>
            <w:noWrap/>
            <w:vAlign w:val="center"/>
          </w:tcPr>
          <w:p w14:paraId="19EBA5B4">
            <w:pPr>
              <w:widowControl/>
              <w:spacing w:line="240" w:lineRule="auto"/>
              <w:ind w:firstLine="0" w:firstLineChars="0"/>
              <w:jc w:val="center"/>
              <w:rPr>
                <w:rFonts w:ascii="仿宋" w:hAnsi="仿宋" w:eastAsia="仿宋" w:cs="宋体"/>
                <w:kern w:val="0"/>
                <w:szCs w:val="28"/>
              </w:rPr>
            </w:pPr>
            <w:r>
              <w:rPr>
                <w:rFonts w:hint="eastAsia" w:ascii="仿宋" w:hAnsi="仿宋" w:eastAsia="仿宋" w:cs="宋体"/>
                <w:kern w:val="0"/>
                <w:szCs w:val="28"/>
              </w:rPr>
              <w:t>白毛坪镇</w:t>
            </w:r>
          </w:p>
        </w:tc>
        <w:tc>
          <w:tcPr>
            <w:tcW w:w="1570" w:type="dxa"/>
            <w:tcBorders>
              <w:top w:val="nil"/>
              <w:left w:val="nil"/>
              <w:bottom w:val="single" w:color="auto" w:sz="4" w:space="0"/>
              <w:right w:val="single" w:color="auto" w:sz="4" w:space="0"/>
            </w:tcBorders>
            <w:shd w:val="clear" w:color="auto" w:fill="auto"/>
            <w:noWrap/>
            <w:vAlign w:val="center"/>
          </w:tcPr>
          <w:p w14:paraId="429268BE">
            <w:pPr>
              <w:widowControl/>
              <w:spacing w:line="240" w:lineRule="auto"/>
              <w:ind w:firstLine="0" w:firstLineChars="0"/>
              <w:jc w:val="center"/>
              <w:rPr>
                <w:rFonts w:ascii="仿宋" w:hAnsi="仿宋" w:eastAsia="仿宋" w:cs="宋体"/>
                <w:kern w:val="0"/>
                <w:szCs w:val="28"/>
              </w:rPr>
            </w:pPr>
            <w:r>
              <w:rPr>
                <w:rFonts w:hint="eastAsia" w:ascii="仿宋" w:hAnsi="仿宋" w:eastAsia="仿宋" w:cs="宋体"/>
                <w:kern w:val="0"/>
                <w:szCs w:val="28"/>
              </w:rPr>
              <w:t>32135.02</w:t>
            </w:r>
          </w:p>
        </w:tc>
        <w:tc>
          <w:tcPr>
            <w:tcW w:w="1456" w:type="dxa"/>
            <w:tcBorders>
              <w:top w:val="nil"/>
              <w:left w:val="nil"/>
              <w:bottom w:val="single" w:color="auto" w:sz="4" w:space="0"/>
              <w:right w:val="single" w:color="auto" w:sz="4" w:space="0"/>
            </w:tcBorders>
            <w:shd w:val="clear" w:color="auto" w:fill="auto"/>
            <w:noWrap/>
            <w:vAlign w:val="center"/>
          </w:tcPr>
          <w:p w14:paraId="5F0F644D">
            <w:pPr>
              <w:widowControl/>
              <w:spacing w:line="240" w:lineRule="auto"/>
              <w:ind w:firstLine="0" w:firstLineChars="0"/>
              <w:jc w:val="center"/>
              <w:rPr>
                <w:rFonts w:ascii="仿宋" w:hAnsi="仿宋" w:eastAsia="仿宋" w:cs="宋体"/>
                <w:kern w:val="0"/>
                <w:szCs w:val="28"/>
              </w:rPr>
            </w:pPr>
            <w:r>
              <w:rPr>
                <w:rFonts w:hint="eastAsia" w:ascii="仿宋" w:hAnsi="仿宋" w:eastAsia="仿宋" w:cs="宋体"/>
                <w:kern w:val="0"/>
                <w:szCs w:val="28"/>
              </w:rPr>
              <w:t>27772.96</w:t>
            </w:r>
          </w:p>
        </w:tc>
        <w:tc>
          <w:tcPr>
            <w:tcW w:w="1234" w:type="dxa"/>
            <w:tcBorders>
              <w:top w:val="nil"/>
              <w:left w:val="nil"/>
              <w:bottom w:val="single" w:color="auto" w:sz="4" w:space="0"/>
              <w:right w:val="single" w:color="auto" w:sz="4" w:space="0"/>
            </w:tcBorders>
            <w:shd w:val="clear" w:color="auto" w:fill="auto"/>
            <w:noWrap/>
            <w:vAlign w:val="center"/>
          </w:tcPr>
          <w:p w14:paraId="5AB7A6F5">
            <w:pPr>
              <w:widowControl/>
              <w:spacing w:line="240" w:lineRule="auto"/>
              <w:ind w:firstLine="0" w:firstLineChars="0"/>
              <w:jc w:val="center"/>
              <w:rPr>
                <w:rFonts w:ascii="仿宋" w:hAnsi="仿宋" w:eastAsia="仿宋" w:cs="宋体"/>
                <w:kern w:val="0"/>
                <w:szCs w:val="28"/>
              </w:rPr>
            </w:pPr>
            <w:r>
              <w:rPr>
                <w:rFonts w:hint="eastAsia" w:ascii="仿宋" w:hAnsi="仿宋" w:eastAsia="仿宋" w:cs="宋体"/>
                <w:kern w:val="0"/>
                <w:szCs w:val="28"/>
              </w:rPr>
              <w:t>86.43%</w:t>
            </w:r>
          </w:p>
        </w:tc>
        <w:tc>
          <w:tcPr>
            <w:tcW w:w="1317" w:type="dxa"/>
            <w:tcBorders>
              <w:top w:val="nil"/>
              <w:left w:val="nil"/>
              <w:bottom w:val="single" w:color="auto" w:sz="4" w:space="0"/>
              <w:right w:val="single" w:color="auto" w:sz="4" w:space="0"/>
            </w:tcBorders>
            <w:shd w:val="clear" w:color="auto" w:fill="auto"/>
            <w:noWrap/>
            <w:vAlign w:val="center"/>
          </w:tcPr>
          <w:p w14:paraId="39B4FF13">
            <w:pPr>
              <w:widowControl/>
              <w:spacing w:line="240" w:lineRule="auto"/>
              <w:ind w:firstLine="0" w:firstLineChars="0"/>
              <w:jc w:val="center"/>
              <w:rPr>
                <w:rFonts w:ascii="仿宋" w:hAnsi="仿宋" w:eastAsia="仿宋" w:cs="宋体"/>
                <w:kern w:val="0"/>
                <w:szCs w:val="28"/>
              </w:rPr>
            </w:pPr>
            <w:r>
              <w:rPr>
                <w:rFonts w:hint="eastAsia" w:ascii="仿宋" w:hAnsi="仿宋" w:eastAsia="仿宋" w:cs="宋体"/>
                <w:kern w:val="0"/>
                <w:szCs w:val="28"/>
              </w:rPr>
              <w:t>4362.06</w:t>
            </w:r>
          </w:p>
        </w:tc>
        <w:tc>
          <w:tcPr>
            <w:tcW w:w="1234" w:type="dxa"/>
            <w:tcBorders>
              <w:top w:val="nil"/>
              <w:left w:val="nil"/>
              <w:bottom w:val="single" w:color="auto" w:sz="4" w:space="0"/>
              <w:right w:val="single" w:color="auto" w:sz="4" w:space="0"/>
            </w:tcBorders>
            <w:shd w:val="clear" w:color="auto" w:fill="auto"/>
            <w:noWrap/>
            <w:vAlign w:val="center"/>
          </w:tcPr>
          <w:p w14:paraId="2CE94463">
            <w:pPr>
              <w:widowControl/>
              <w:spacing w:line="240" w:lineRule="auto"/>
              <w:ind w:firstLine="0" w:firstLineChars="0"/>
              <w:jc w:val="center"/>
              <w:rPr>
                <w:rFonts w:ascii="仿宋" w:hAnsi="仿宋" w:eastAsia="仿宋" w:cs="宋体"/>
                <w:kern w:val="0"/>
                <w:szCs w:val="28"/>
              </w:rPr>
            </w:pPr>
            <w:r>
              <w:rPr>
                <w:rFonts w:hint="eastAsia" w:ascii="仿宋" w:hAnsi="仿宋" w:eastAsia="仿宋" w:cs="宋体"/>
                <w:kern w:val="0"/>
                <w:szCs w:val="28"/>
              </w:rPr>
              <w:t>13.57%</w:t>
            </w:r>
          </w:p>
        </w:tc>
      </w:tr>
      <w:tr w14:paraId="5327A0BF">
        <w:tblPrEx>
          <w:tblCellMar>
            <w:top w:w="0" w:type="dxa"/>
            <w:left w:w="108" w:type="dxa"/>
            <w:bottom w:w="0" w:type="dxa"/>
            <w:right w:w="108" w:type="dxa"/>
          </w:tblCellMar>
        </w:tblPrEx>
        <w:trPr>
          <w:trHeight w:val="392" w:hRule="atLeast"/>
        </w:trPr>
        <w:tc>
          <w:tcPr>
            <w:tcW w:w="694" w:type="dxa"/>
            <w:tcBorders>
              <w:top w:val="nil"/>
              <w:left w:val="single" w:color="auto" w:sz="4" w:space="0"/>
              <w:bottom w:val="single" w:color="auto" w:sz="4" w:space="0"/>
              <w:right w:val="single" w:color="auto" w:sz="4" w:space="0"/>
            </w:tcBorders>
            <w:shd w:val="clear" w:color="auto" w:fill="auto"/>
            <w:noWrap/>
            <w:vAlign w:val="center"/>
          </w:tcPr>
          <w:p w14:paraId="0CA76163">
            <w:pPr>
              <w:widowControl/>
              <w:spacing w:line="240" w:lineRule="auto"/>
              <w:ind w:firstLine="0" w:firstLineChars="0"/>
              <w:jc w:val="center"/>
              <w:rPr>
                <w:rFonts w:ascii="仿宋" w:hAnsi="仿宋" w:eastAsia="仿宋" w:cs="宋体"/>
                <w:kern w:val="0"/>
                <w:szCs w:val="28"/>
              </w:rPr>
            </w:pPr>
            <w:r>
              <w:rPr>
                <w:rFonts w:hint="eastAsia" w:ascii="仿宋" w:hAnsi="仿宋" w:eastAsia="仿宋" w:cs="宋体"/>
                <w:kern w:val="0"/>
                <w:szCs w:val="28"/>
              </w:rPr>
              <w:t>9</w:t>
            </w:r>
          </w:p>
        </w:tc>
        <w:tc>
          <w:tcPr>
            <w:tcW w:w="1453" w:type="dxa"/>
            <w:tcBorders>
              <w:top w:val="nil"/>
              <w:left w:val="nil"/>
              <w:bottom w:val="single" w:color="auto" w:sz="4" w:space="0"/>
              <w:right w:val="single" w:color="auto" w:sz="4" w:space="0"/>
            </w:tcBorders>
            <w:shd w:val="clear" w:color="auto" w:fill="auto"/>
            <w:noWrap/>
            <w:vAlign w:val="center"/>
          </w:tcPr>
          <w:p w14:paraId="27C80805">
            <w:pPr>
              <w:widowControl/>
              <w:spacing w:line="240" w:lineRule="auto"/>
              <w:ind w:firstLine="0" w:firstLineChars="0"/>
              <w:jc w:val="center"/>
              <w:rPr>
                <w:rFonts w:ascii="仿宋" w:hAnsi="仿宋" w:eastAsia="仿宋" w:cs="宋体"/>
                <w:kern w:val="0"/>
                <w:szCs w:val="28"/>
              </w:rPr>
            </w:pPr>
            <w:r>
              <w:rPr>
                <w:rFonts w:hint="eastAsia" w:ascii="仿宋" w:hAnsi="仿宋" w:eastAsia="仿宋" w:cs="宋体"/>
                <w:kern w:val="0"/>
                <w:szCs w:val="28"/>
              </w:rPr>
              <w:t>兰蓉乡</w:t>
            </w:r>
          </w:p>
        </w:tc>
        <w:tc>
          <w:tcPr>
            <w:tcW w:w="1570" w:type="dxa"/>
            <w:tcBorders>
              <w:top w:val="nil"/>
              <w:left w:val="nil"/>
              <w:bottom w:val="single" w:color="auto" w:sz="4" w:space="0"/>
              <w:right w:val="single" w:color="auto" w:sz="4" w:space="0"/>
            </w:tcBorders>
            <w:shd w:val="clear" w:color="auto" w:fill="auto"/>
            <w:noWrap/>
            <w:vAlign w:val="center"/>
          </w:tcPr>
          <w:p w14:paraId="3FA7DDD7">
            <w:pPr>
              <w:widowControl/>
              <w:spacing w:line="240" w:lineRule="auto"/>
              <w:ind w:firstLine="0" w:firstLineChars="0"/>
              <w:jc w:val="center"/>
              <w:rPr>
                <w:rFonts w:ascii="仿宋" w:hAnsi="仿宋" w:eastAsia="仿宋" w:cs="宋体"/>
                <w:kern w:val="0"/>
                <w:szCs w:val="28"/>
              </w:rPr>
            </w:pPr>
            <w:r>
              <w:rPr>
                <w:rFonts w:hint="eastAsia" w:ascii="仿宋" w:hAnsi="仿宋" w:eastAsia="仿宋" w:cs="宋体"/>
                <w:kern w:val="0"/>
                <w:szCs w:val="28"/>
              </w:rPr>
              <w:t>11306.37</w:t>
            </w:r>
          </w:p>
        </w:tc>
        <w:tc>
          <w:tcPr>
            <w:tcW w:w="1456" w:type="dxa"/>
            <w:tcBorders>
              <w:top w:val="nil"/>
              <w:left w:val="nil"/>
              <w:bottom w:val="single" w:color="auto" w:sz="4" w:space="0"/>
              <w:right w:val="single" w:color="auto" w:sz="4" w:space="0"/>
            </w:tcBorders>
            <w:shd w:val="clear" w:color="auto" w:fill="auto"/>
            <w:noWrap/>
            <w:vAlign w:val="center"/>
          </w:tcPr>
          <w:p w14:paraId="7F0F1B6C">
            <w:pPr>
              <w:widowControl/>
              <w:spacing w:line="240" w:lineRule="auto"/>
              <w:ind w:firstLine="0" w:firstLineChars="0"/>
              <w:jc w:val="center"/>
              <w:rPr>
                <w:rFonts w:ascii="仿宋" w:hAnsi="仿宋" w:eastAsia="仿宋" w:cs="宋体"/>
                <w:kern w:val="0"/>
                <w:szCs w:val="28"/>
              </w:rPr>
            </w:pPr>
            <w:r>
              <w:rPr>
                <w:rFonts w:hint="eastAsia" w:ascii="仿宋" w:hAnsi="仿宋" w:eastAsia="仿宋" w:cs="宋体"/>
                <w:kern w:val="0"/>
                <w:szCs w:val="28"/>
              </w:rPr>
              <w:t>2627.29</w:t>
            </w:r>
          </w:p>
        </w:tc>
        <w:tc>
          <w:tcPr>
            <w:tcW w:w="1234" w:type="dxa"/>
            <w:tcBorders>
              <w:top w:val="nil"/>
              <w:left w:val="nil"/>
              <w:bottom w:val="single" w:color="auto" w:sz="4" w:space="0"/>
              <w:right w:val="single" w:color="auto" w:sz="4" w:space="0"/>
            </w:tcBorders>
            <w:shd w:val="clear" w:color="auto" w:fill="auto"/>
            <w:noWrap/>
            <w:vAlign w:val="center"/>
          </w:tcPr>
          <w:p w14:paraId="315F994D">
            <w:pPr>
              <w:widowControl/>
              <w:spacing w:line="240" w:lineRule="auto"/>
              <w:ind w:firstLine="0" w:firstLineChars="0"/>
              <w:jc w:val="center"/>
              <w:rPr>
                <w:rFonts w:ascii="仿宋" w:hAnsi="仿宋" w:eastAsia="仿宋" w:cs="宋体"/>
                <w:kern w:val="0"/>
                <w:szCs w:val="28"/>
              </w:rPr>
            </w:pPr>
            <w:r>
              <w:rPr>
                <w:rFonts w:hint="eastAsia" w:ascii="仿宋" w:hAnsi="仿宋" w:eastAsia="仿宋" w:cs="宋体"/>
                <w:kern w:val="0"/>
                <w:szCs w:val="28"/>
              </w:rPr>
              <w:t>23.24%</w:t>
            </w:r>
          </w:p>
        </w:tc>
        <w:tc>
          <w:tcPr>
            <w:tcW w:w="1317" w:type="dxa"/>
            <w:tcBorders>
              <w:top w:val="nil"/>
              <w:left w:val="nil"/>
              <w:bottom w:val="single" w:color="auto" w:sz="4" w:space="0"/>
              <w:right w:val="single" w:color="auto" w:sz="4" w:space="0"/>
            </w:tcBorders>
            <w:shd w:val="clear" w:color="auto" w:fill="auto"/>
            <w:noWrap/>
            <w:vAlign w:val="center"/>
          </w:tcPr>
          <w:p w14:paraId="06263603">
            <w:pPr>
              <w:widowControl/>
              <w:spacing w:line="240" w:lineRule="auto"/>
              <w:ind w:firstLine="0" w:firstLineChars="0"/>
              <w:jc w:val="center"/>
              <w:rPr>
                <w:rFonts w:ascii="仿宋" w:hAnsi="仿宋" w:eastAsia="仿宋" w:cs="宋体"/>
                <w:kern w:val="0"/>
                <w:szCs w:val="28"/>
              </w:rPr>
            </w:pPr>
            <w:r>
              <w:rPr>
                <w:rFonts w:hint="eastAsia" w:ascii="仿宋" w:hAnsi="仿宋" w:eastAsia="仿宋" w:cs="宋体"/>
                <w:kern w:val="0"/>
                <w:szCs w:val="28"/>
              </w:rPr>
              <w:t>8679.07</w:t>
            </w:r>
          </w:p>
        </w:tc>
        <w:tc>
          <w:tcPr>
            <w:tcW w:w="1234" w:type="dxa"/>
            <w:tcBorders>
              <w:top w:val="nil"/>
              <w:left w:val="nil"/>
              <w:bottom w:val="single" w:color="auto" w:sz="4" w:space="0"/>
              <w:right w:val="single" w:color="auto" w:sz="4" w:space="0"/>
            </w:tcBorders>
            <w:shd w:val="clear" w:color="auto" w:fill="auto"/>
            <w:noWrap/>
            <w:vAlign w:val="center"/>
          </w:tcPr>
          <w:p w14:paraId="343F3348">
            <w:pPr>
              <w:widowControl/>
              <w:spacing w:line="240" w:lineRule="auto"/>
              <w:ind w:firstLine="0" w:firstLineChars="0"/>
              <w:jc w:val="center"/>
              <w:rPr>
                <w:rFonts w:ascii="仿宋" w:hAnsi="仿宋" w:eastAsia="仿宋" w:cs="宋体"/>
                <w:kern w:val="0"/>
                <w:szCs w:val="28"/>
              </w:rPr>
            </w:pPr>
            <w:r>
              <w:rPr>
                <w:rFonts w:hint="eastAsia" w:ascii="仿宋" w:hAnsi="仿宋" w:eastAsia="仿宋" w:cs="宋体"/>
                <w:kern w:val="0"/>
                <w:szCs w:val="28"/>
              </w:rPr>
              <w:t>76.76%</w:t>
            </w:r>
          </w:p>
        </w:tc>
      </w:tr>
      <w:tr w14:paraId="3B2032DC">
        <w:tblPrEx>
          <w:tblCellMar>
            <w:top w:w="0" w:type="dxa"/>
            <w:left w:w="108" w:type="dxa"/>
            <w:bottom w:w="0" w:type="dxa"/>
            <w:right w:w="108" w:type="dxa"/>
          </w:tblCellMar>
        </w:tblPrEx>
        <w:trPr>
          <w:trHeight w:val="392" w:hRule="atLeast"/>
        </w:trPr>
        <w:tc>
          <w:tcPr>
            <w:tcW w:w="694" w:type="dxa"/>
            <w:tcBorders>
              <w:top w:val="nil"/>
              <w:left w:val="single" w:color="auto" w:sz="4" w:space="0"/>
              <w:bottom w:val="single" w:color="auto" w:sz="4" w:space="0"/>
              <w:right w:val="single" w:color="auto" w:sz="4" w:space="0"/>
            </w:tcBorders>
            <w:shd w:val="clear" w:color="auto" w:fill="auto"/>
            <w:noWrap/>
            <w:vAlign w:val="center"/>
          </w:tcPr>
          <w:p w14:paraId="0FDD2813">
            <w:pPr>
              <w:widowControl/>
              <w:spacing w:line="240" w:lineRule="auto"/>
              <w:ind w:firstLine="0" w:firstLineChars="0"/>
              <w:jc w:val="center"/>
              <w:rPr>
                <w:rFonts w:ascii="仿宋" w:hAnsi="仿宋" w:eastAsia="仿宋" w:cs="宋体"/>
                <w:kern w:val="0"/>
                <w:szCs w:val="28"/>
              </w:rPr>
            </w:pPr>
            <w:r>
              <w:rPr>
                <w:rFonts w:hint="eastAsia" w:ascii="仿宋" w:hAnsi="仿宋" w:eastAsia="仿宋" w:cs="宋体"/>
                <w:kern w:val="0"/>
                <w:szCs w:val="28"/>
              </w:rPr>
              <w:t>10</w:t>
            </w:r>
          </w:p>
        </w:tc>
        <w:tc>
          <w:tcPr>
            <w:tcW w:w="1453" w:type="dxa"/>
            <w:tcBorders>
              <w:top w:val="nil"/>
              <w:left w:val="nil"/>
              <w:bottom w:val="single" w:color="auto" w:sz="4" w:space="0"/>
              <w:right w:val="single" w:color="auto" w:sz="4" w:space="0"/>
            </w:tcBorders>
            <w:shd w:val="clear" w:color="auto" w:fill="auto"/>
            <w:noWrap/>
            <w:vAlign w:val="center"/>
          </w:tcPr>
          <w:p w14:paraId="1CB62E18">
            <w:pPr>
              <w:widowControl/>
              <w:spacing w:line="240" w:lineRule="auto"/>
              <w:ind w:firstLine="0" w:firstLineChars="0"/>
              <w:jc w:val="center"/>
              <w:rPr>
                <w:rFonts w:ascii="仿宋" w:hAnsi="仿宋" w:eastAsia="仿宋" w:cs="宋体"/>
                <w:kern w:val="0"/>
                <w:szCs w:val="28"/>
              </w:rPr>
            </w:pPr>
            <w:r>
              <w:rPr>
                <w:rFonts w:hint="eastAsia" w:ascii="仿宋" w:hAnsi="仿宋" w:eastAsia="仿宋" w:cs="宋体"/>
                <w:kern w:val="0"/>
                <w:szCs w:val="28"/>
              </w:rPr>
              <w:t>汀坪乡</w:t>
            </w:r>
          </w:p>
        </w:tc>
        <w:tc>
          <w:tcPr>
            <w:tcW w:w="1570" w:type="dxa"/>
            <w:tcBorders>
              <w:top w:val="nil"/>
              <w:left w:val="nil"/>
              <w:bottom w:val="single" w:color="auto" w:sz="4" w:space="0"/>
              <w:right w:val="single" w:color="auto" w:sz="4" w:space="0"/>
            </w:tcBorders>
            <w:shd w:val="clear" w:color="auto" w:fill="auto"/>
            <w:noWrap/>
            <w:vAlign w:val="center"/>
          </w:tcPr>
          <w:p w14:paraId="41F37BED">
            <w:pPr>
              <w:widowControl/>
              <w:spacing w:line="240" w:lineRule="auto"/>
              <w:ind w:firstLine="0" w:firstLineChars="0"/>
              <w:jc w:val="center"/>
              <w:rPr>
                <w:rFonts w:ascii="仿宋" w:hAnsi="仿宋" w:eastAsia="仿宋" w:cs="宋体"/>
                <w:kern w:val="0"/>
                <w:szCs w:val="28"/>
              </w:rPr>
            </w:pPr>
            <w:r>
              <w:rPr>
                <w:rFonts w:hint="eastAsia" w:ascii="仿宋" w:hAnsi="仿宋" w:eastAsia="仿宋" w:cs="宋体"/>
                <w:kern w:val="0"/>
                <w:szCs w:val="28"/>
              </w:rPr>
              <w:t>26028.93</w:t>
            </w:r>
          </w:p>
        </w:tc>
        <w:tc>
          <w:tcPr>
            <w:tcW w:w="1456" w:type="dxa"/>
            <w:tcBorders>
              <w:top w:val="nil"/>
              <w:left w:val="nil"/>
              <w:bottom w:val="single" w:color="auto" w:sz="4" w:space="0"/>
              <w:right w:val="single" w:color="auto" w:sz="4" w:space="0"/>
            </w:tcBorders>
            <w:shd w:val="clear" w:color="auto" w:fill="auto"/>
            <w:noWrap/>
            <w:vAlign w:val="center"/>
          </w:tcPr>
          <w:p w14:paraId="0E5CFBF9">
            <w:pPr>
              <w:widowControl/>
              <w:spacing w:line="240" w:lineRule="auto"/>
              <w:ind w:firstLine="0" w:firstLineChars="0"/>
              <w:jc w:val="center"/>
              <w:rPr>
                <w:rFonts w:ascii="仿宋" w:hAnsi="仿宋" w:eastAsia="仿宋" w:cs="宋体"/>
                <w:kern w:val="0"/>
                <w:szCs w:val="28"/>
              </w:rPr>
            </w:pPr>
            <w:r>
              <w:rPr>
                <w:rFonts w:hint="eastAsia" w:ascii="仿宋" w:hAnsi="仿宋" w:eastAsia="仿宋" w:cs="宋体"/>
                <w:kern w:val="0"/>
                <w:szCs w:val="28"/>
              </w:rPr>
              <w:t>14936.42</w:t>
            </w:r>
          </w:p>
        </w:tc>
        <w:tc>
          <w:tcPr>
            <w:tcW w:w="1234" w:type="dxa"/>
            <w:tcBorders>
              <w:top w:val="nil"/>
              <w:left w:val="nil"/>
              <w:bottom w:val="single" w:color="auto" w:sz="4" w:space="0"/>
              <w:right w:val="single" w:color="auto" w:sz="4" w:space="0"/>
            </w:tcBorders>
            <w:shd w:val="clear" w:color="auto" w:fill="auto"/>
            <w:noWrap/>
            <w:vAlign w:val="center"/>
          </w:tcPr>
          <w:p w14:paraId="05CB923B">
            <w:pPr>
              <w:widowControl/>
              <w:spacing w:line="240" w:lineRule="auto"/>
              <w:ind w:firstLine="0" w:firstLineChars="0"/>
              <w:jc w:val="center"/>
              <w:rPr>
                <w:rFonts w:ascii="仿宋" w:hAnsi="仿宋" w:eastAsia="仿宋" w:cs="宋体"/>
                <w:kern w:val="0"/>
                <w:szCs w:val="28"/>
              </w:rPr>
            </w:pPr>
            <w:r>
              <w:rPr>
                <w:rFonts w:hint="eastAsia" w:ascii="仿宋" w:hAnsi="仿宋" w:eastAsia="仿宋" w:cs="宋体"/>
                <w:kern w:val="0"/>
                <w:szCs w:val="28"/>
              </w:rPr>
              <w:t>57.38%</w:t>
            </w:r>
          </w:p>
        </w:tc>
        <w:tc>
          <w:tcPr>
            <w:tcW w:w="1317" w:type="dxa"/>
            <w:tcBorders>
              <w:top w:val="nil"/>
              <w:left w:val="nil"/>
              <w:bottom w:val="single" w:color="auto" w:sz="4" w:space="0"/>
              <w:right w:val="single" w:color="auto" w:sz="4" w:space="0"/>
            </w:tcBorders>
            <w:shd w:val="clear" w:color="auto" w:fill="auto"/>
            <w:noWrap/>
            <w:vAlign w:val="center"/>
          </w:tcPr>
          <w:p w14:paraId="23A76933">
            <w:pPr>
              <w:widowControl/>
              <w:spacing w:line="240" w:lineRule="auto"/>
              <w:ind w:firstLine="0" w:firstLineChars="0"/>
              <w:jc w:val="center"/>
              <w:rPr>
                <w:rFonts w:ascii="仿宋" w:hAnsi="仿宋" w:eastAsia="仿宋" w:cs="宋体"/>
                <w:kern w:val="0"/>
                <w:szCs w:val="28"/>
              </w:rPr>
            </w:pPr>
            <w:r>
              <w:rPr>
                <w:rFonts w:hint="eastAsia" w:ascii="仿宋" w:hAnsi="仿宋" w:eastAsia="仿宋" w:cs="宋体"/>
                <w:kern w:val="0"/>
                <w:szCs w:val="28"/>
              </w:rPr>
              <w:t>11092.51</w:t>
            </w:r>
          </w:p>
        </w:tc>
        <w:tc>
          <w:tcPr>
            <w:tcW w:w="1234" w:type="dxa"/>
            <w:tcBorders>
              <w:top w:val="nil"/>
              <w:left w:val="nil"/>
              <w:bottom w:val="single" w:color="auto" w:sz="4" w:space="0"/>
              <w:right w:val="single" w:color="auto" w:sz="4" w:space="0"/>
            </w:tcBorders>
            <w:shd w:val="clear" w:color="auto" w:fill="auto"/>
            <w:noWrap/>
            <w:vAlign w:val="center"/>
          </w:tcPr>
          <w:p w14:paraId="51A61828">
            <w:pPr>
              <w:widowControl/>
              <w:spacing w:line="240" w:lineRule="auto"/>
              <w:ind w:firstLine="0" w:firstLineChars="0"/>
              <w:jc w:val="center"/>
              <w:rPr>
                <w:rFonts w:ascii="仿宋" w:hAnsi="仿宋" w:eastAsia="仿宋" w:cs="宋体"/>
                <w:kern w:val="0"/>
                <w:szCs w:val="28"/>
              </w:rPr>
            </w:pPr>
            <w:r>
              <w:rPr>
                <w:rFonts w:hint="eastAsia" w:ascii="仿宋" w:hAnsi="仿宋" w:eastAsia="仿宋" w:cs="宋体"/>
                <w:kern w:val="0"/>
                <w:szCs w:val="28"/>
              </w:rPr>
              <w:t>42.62%</w:t>
            </w:r>
          </w:p>
        </w:tc>
      </w:tr>
      <w:tr w14:paraId="7722AA01">
        <w:tblPrEx>
          <w:tblCellMar>
            <w:top w:w="0" w:type="dxa"/>
            <w:left w:w="108" w:type="dxa"/>
            <w:bottom w:w="0" w:type="dxa"/>
            <w:right w:w="108" w:type="dxa"/>
          </w:tblCellMar>
        </w:tblPrEx>
        <w:trPr>
          <w:trHeight w:val="392" w:hRule="atLeast"/>
        </w:trPr>
        <w:tc>
          <w:tcPr>
            <w:tcW w:w="694" w:type="dxa"/>
            <w:tcBorders>
              <w:top w:val="nil"/>
              <w:left w:val="single" w:color="auto" w:sz="4" w:space="0"/>
              <w:bottom w:val="single" w:color="auto" w:sz="4" w:space="0"/>
              <w:right w:val="single" w:color="auto" w:sz="4" w:space="0"/>
            </w:tcBorders>
            <w:shd w:val="clear" w:color="auto" w:fill="auto"/>
            <w:noWrap/>
            <w:vAlign w:val="center"/>
          </w:tcPr>
          <w:p w14:paraId="24E7BAEB">
            <w:pPr>
              <w:widowControl/>
              <w:spacing w:line="240" w:lineRule="auto"/>
              <w:ind w:firstLine="0" w:firstLineChars="0"/>
              <w:jc w:val="center"/>
              <w:rPr>
                <w:rFonts w:ascii="仿宋" w:hAnsi="仿宋" w:eastAsia="仿宋" w:cs="宋体"/>
                <w:kern w:val="0"/>
                <w:szCs w:val="28"/>
              </w:rPr>
            </w:pPr>
            <w:r>
              <w:rPr>
                <w:rFonts w:hint="eastAsia" w:ascii="仿宋" w:hAnsi="仿宋" w:eastAsia="仿宋" w:cs="宋体"/>
                <w:kern w:val="0"/>
                <w:szCs w:val="28"/>
              </w:rPr>
              <w:t>11</w:t>
            </w:r>
          </w:p>
        </w:tc>
        <w:tc>
          <w:tcPr>
            <w:tcW w:w="1453" w:type="dxa"/>
            <w:tcBorders>
              <w:top w:val="nil"/>
              <w:left w:val="nil"/>
              <w:bottom w:val="single" w:color="auto" w:sz="4" w:space="0"/>
              <w:right w:val="single" w:color="auto" w:sz="4" w:space="0"/>
            </w:tcBorders>
            <w:shd w:val="clear" w:color="auto" w:fill="auto"/>
            <w:noWrap/>
            <w:vAlign w:val="center"/>
          </w:tcPr>
          <w:p w14:paraId="66FE36D5">
            <w:pPr>
              <w:widowControl/>
              <w:spacing w:line="240" w:lineRule="auto"/>
              <w:ind w:firstLine="0" w:firstLineChars="0"/>
              <w:jc w:val="center"/>
              <w:rPr>
                <w:rFonts w:ascii="仿宋" w:hAnsi="仿宋" w:eastAsia="仿宋" w:cs="宋体"/>
                <w:kern w:val="0"/>
                <w:szCs w:val="28"/>
              </w:rPr>
            </w:pPr>
            <w:r>
              <w:rPr>
                <w:rFonts w:hint="eastAsia" w:ascii="仿宋" w:hAnsi="仿宋" w:eastAsia="仿宋" w:cs="宋体"/>
                <w:kern w:val="0"/>
                <w:szCs w:val="28"/>
              </w:rPr>
              <w:t>蒋坊乡</w:t>
            </w:r>
          </w:p>
        </w:tc>
        <w:tc>
          <w:tcPr>
            <w:tcW w:w="1570" w:type="dxa"/>
            <w:tcBorders>
              <w:top w:val="nil"/>
              <w:left w:val="nil"/>
              <w:bottom w:val="single" w:color="auto" w:sz="4" w:space="0"/>
              <w:right w:val="single" w:color="auto" w:sz="4" w:space="0"/>
            </w:tcBorders>
            <w:shd w:val="clear" w:color="auto" w:fill="auto"/>
            <w:noWrap/>
            <w:vAlign w:val="center"/>
          </w:tcPr>
          <w:p w14:paraId="5021FA6B">
            <w:pPr>
              <w:widowControl/>
              <w:spacing w:line="240" w:lineRule="auto"/>
              <w:ind w:firstLine="0" w:firstLineChars="0"/>
              <w:jc w:val="center"/>
              <w:rPr>
                <w:rFonts w:ascii="仿宋" w:hAnsi="仿宋" w:eastAsia="仿宋" w:cs="宋体"/>
                <w:kern w:val="0"/>
                <w:szCs w:val="28"/>
              </w:rPr>
            </w:pPr>
            <w:r>
              <w:rPr>
                <w:rFonts w:hint="eastAsia" w:ascii="仿宋" w:hAnsi="仿宋" w:eastAsia="仿宋" w:cs="宋体"/>
                <w:kern w:val="0"/>
                <w:szCs w:val="28"/>
              </w:rPr>
              <w:t>8659.39</w:t>
            </w:r>
          </w:p>
        </w:tc>
        <w:tc>
          <w:tcPr>
            <w:tcW w:w="1456" w:type="dxa"/>
            <w:tcBorders>
              <w:top w:val="nil"/>
              <w:left w:val="nil"/>
              <w:bottom w:val="single" w:color="auto" w:sz="4" w:space="0"/>
              <w:right w:val="single" w:color="auto" w:sz="4" w:space="0"/>
            </w:tcBorders>
            <w:shd w:val="clear" w:color="auto" w:fill="auto"/>
            <w:noWrap/>
            <w:vAlign w:val="center"/>
          </w:tcPr>
          <w:p w14:paraId="59031097">
            <w:pPr>
              <w:widowControl/>
              <w:spacing w:line="240" w:lineRule="auto"/>
              <w:ind w:firstLine="0" w:firstLineChars="0"/>
              <w:jc w:val="center"/>
              <w:rPr>
                <w:rFonts w:ascii="仿宋" w:hAnsi="仿宋" w:eastAsia="仿宋" w:cs="宋体"/>
                <w:kern w:val="0"/>
                <w:szCs w:val="28"/>
              </w:rPr>
            </w:pPr>
            <w:r>
              <w:rPr>
                <w:rFonts w:hint="eastAsia" w:ascii="仿宋" w:hAnsi="仿宋" w:eastAsia="仿宋" w:cs="宋体"/>
                <w:kern w:val="0"/>
                <w:szCs w:val="28"/>
              </w:rPr>
              <w:t>7101.34</w:t>
            </w:r>
          </w:p>
        </w:tc>
        <w:tc>
          <w:tcPr>
            <w:tcW w:w="1234" w:type="dxa"/>
            <w:tcBorders>
              <w:top w:val="nil"/>
              <w:left w:val="nil"/>
              <w:bottom w:val="single" w:color="auto" w:sz="4" w:space="0"/>
              <w:right w:val="single" w:color="auto" w:sz="4" w:space="0"/>
            </w:tcBorders>
            <w:shd w:val="clear" w:color="auto" w:fill="auto"/>
            <w:noWrap/>
            <w:vAlign w:val="center"/>
          </w:tcPr>
          <w:p w14:paraId="4457CF48">
            <w:pPr>
              <w:widowControl/>
              <w:spacing w:line="240" w:lineRule="auto"/>
              <w:ind w:firstLine="0" w:firstLineChars="0"/>
              <w:jc w:val="center"/>
              <w:rPr>
                <w:rFonts w:ascii="仿宋" w:hAnsi="仿宋" w:eastAsia="仿宋" w:cs="宋体"/>
                <w:kern w:val="0"/>
                <w:szCs w:val="28"/>
              </w:rPr>
            </w:pPr>
            <w:r>
              <w:rPr>
                <w:rFonts w:hint="eastAsia" w:ascii="仿宋" w:hAnsi="仿宋" w:eastAsia="仿宋" w:cs="宋体"/>
                <w:kern w:val="0"/>
                <w:szCs w:val="28"/>
              </w:rPr>
              <w:t>82.01%</w:t>
            </w:r>
          </w:p>
        </w:tc>
        <w:tc>
          <w:tcPr>
            <w:tcW w:w="1317" w:type="dxa"/>
            <w:tcBorders>
              <w:top w:val="nil"/>
              <w:left w:val="nil"/>
              <w:bottom w:val="single" w:color="auto" w:sz="4" w:space="0"/>
              <w:right w:val="single" w:color="auto" w:sz="4" w:space="0"/>
            </w:tcBorders>
            <w:shd w:val="clear" w:color="auto" w:fill="auto"/>
            <w:noWrap/>
            <w:vAlign w:val="center"/>
          </w:tcPr>
          <w:p w14:paraId="708ADF2C">
            <w:pPr>
              <w:widowControl/>
              <w:spacing w:line="240" w:lineRule="auto"/>
              <w:ind w:firstLine="0" w:firstLineChars="0"/>
              <w:jc w:val="center"/>
              <w:rPr>
                <w:rFonts w:ascii="仿宋" w:hAnsi="仿宋" w:eastAsia="仿宋" w:cs="宋体"/>
                <w:kern w:val="0"/>
                <w:szCs w:val="28"/>
              </w:rPr>
            </w:pPr>
            <w:r>
              <w:rPr>
                <w:rFonts w:hint="eastAsia" w:ascii="仿宋" w:hAnsi="仿宋" w:eastAsia="仿宋" w:cs="宋体"/>
                <w:kern w:val="0"/>
                <w:szCs w:val="28"/>
              </w:rPr>
              <w:t>1558.05</w:t>
            </w:r>
          </w:p>
        </w:tc>
        <w:tc>
          <w:tcPr>
            <w:tcW w:w="1234" w:type="dxa"/>
            <w:tcBorders>
              <w:top w:val="nil"/>
              <w:left w:val="nil"/>
              <w:bottom w:val="single" w:color="auto" w:sz="4" w:space="0"/>
              <w:right w:val="single" w:color="auto" w:sz="4" w:space="0"/>
            </w:tcBorders>
            <w:shd w:val="clear" w:color="auto" w:fill="auto"/>
            <w:noWrap/>
            <w:vAlign w:val="center"/>
          </w:tcPr>
          <w:p w14:paraId="09C87781">
            <w:pPr>
              <w:widowControl/>
              <w:spacing w:line="240" w:lineRule="auto"/>
              <w:ind w:firstLine="0" w:firstLineChars="0"/>
              <w:jc w:val="center"/>
              <w:rPr>
                <w:rFonts w:ascii="仿宋" w:hAnsi="仿宋" w:eastAsia="仿宋" w:cs="宋体"/>
                <w:kern w:val="0"/>
                <w:szCs w:val="28"/>
              </w:rPr>
            </w:pPr>
            <w:r>
              <w:rPr>
                <w:rFonts w:hint="eastAsia" w:ascii="仿宋" w:hAnsi="仿宋" w:eastAsia="仿宋" w:cs="宋体"/>
                <w:kern w:val="0"/>
                <w:szCs w:val="28"/>
              </w:rPr>
              <w:t>17.99%</w:t>
            </w:r>
          </w:p>
        </w:tc>
      </w:tr>
      <w:tr w14:paraId="0C750537">
        <w:tblPrEx>
          <w:tblCellMar>
            <w:top w:w="0" w:type="dxa"/>
            <w:left w:w="108" w:type="dxa"/>
            <w:bottom w:w="0" w:type="dxa"/>
            <w:right w:w="108" w:type="dxa"/>
          </w:tblCellMar>
        </w:tblPrEx>
        <w:trPr>
          <w:trHeight w:val="392" w:hRule="atLeast"/>
        </w:trPr>
        <w:tc>
          <w:tcPr>
            <w:tcW w:w="694" w:type="dxa"/>
            <w:tcBorders>
              <w:top w:val="nil"/>
              <w:left w:val="single" w:color="auto" w:sz="4" w:space="0"/>
              <w:bottom w:val="single" w:color="auto" w:sz="4" w:space="0"/>
              <w:right w:val="single" w:color="auto" w:sz="4" w:space="0"/>
            </w:tcBorders>
            <w:shd w:val="clear" w:color="auto" w:fill="auto"/>
            <w:noWrap/>
            <w:vAlign w:val="center"/>
          </w:tcPr>
          <w:p w14:paraId="325B6D31">
            <w:pPr>
              <w:widowControl/>
              <w:spacing w:line="240" w:lineRule="auto"/>
              <w:ind w:firstLine="0" w:firstLineChars="0"/>
              <w:jc w:val="center"/>
              <w:rPr>
                <w:rFonts w:ascii="仿宋" w:hAnsi="仿宋" w:eastAsia="仿宋" w:cs="宋体"/>
                <w:kern w:val="0"/>
                <w:szCs w:val="28"/>
              </w:rPr>
            </w:pPr>
            <w:r>
              <w:rPr>
                <w:rFonts w:hint="eastAsia" w:ascii="仿宋" w:hAnsi="仿宋" w:eastAsia="仿宋" w:cs="宋体"/>
                <w:kern w:val="0"/>
                <w:szCs w:val="28"/>
              </w:rPr>
              <w:t>12</w:t>
            </w:r>
          </w:p>
        </w:tc>
        <w:tc>
          <w:tcPr>
            <w:tcW w:w="1453" w:type="dxa"/>
            <w:tcBorders>
              <w:top w:val="nil"/>
              <w:left w:val="nil"/>
              <w:bottom w:val="single" w:color="auto" w:sz="4" w:space="0"/>
              <w:right w:val="single" w:color="auto" w:sz="4" w:space="0"/>
            </w:tcBorders>
            <w:shd w:val="clear" w:color="auto" w:fill="auto"/>
            <w:noWrap/>
            <w:vAlign w:val="center"/>
          </w:tcPr>
          <w:p w14:paraId="60956C70">
            <w:pPr>
              <w:widowControl/>
              <w:spacing w:line="240" w:lineRule="auto"/>
              <w:ind w:firstLine="0" w:firstLineChars="0"/>
              <w:jc w:val="center"/>
              <w:rPr>
                <w:rFonts w:ascii="仿宋" w:hAnsi="仿宋" w:eastAsia="仿宋" w:cs="宋体"/>
                <w:kern w:val="0"/>
                <w:szCs w:val="28"/>
              </w:rPr>
            </w:pPr>
            <w:r>
              <w:rPr>
                <w:rFonts w:hint="eastAsia" w:ascii="仿宋" w:hAnsi="仿宋" w:eastAsia="仿宋" w:cs="宋体"/>
                <w:kern w:val="0"/>
                <w:szCs w:val="28"/>
              </w:rPr>
              <w:t>金紫乡</w:t>
            </w:r>
          </w:p>
        </w:tc>
        <w:tc>
          <w:tcPr>
            <w:tcW w:w="1570" w:type="dxa"/>
            <w:tcBorders>
              <w:top w:val="nil"/>
              <w:left w:val="nil"/>
              <w:bottom w:val="single" w:color="auto" w:sz="4" w:space="0"/>
              <w:right w:val="single" w:color="auto" w:sz="4" w:space="0"/>
            </w:tcBorders>
            <w:shd w:val="clear" w:color="auto" w:fill="auto"/>
            <w:noWrap/>
            <w:vAlign w:val="center"/>
          </w:tcPr>
          <w:p w14:paraId="05481C4E">
            <w:pPr>
              <w:widowControl/>
              <w:spacing w:line="240" w:lineRule="auto"/>
              <w:ind w:firstLine="0" w:firstLineChars="0"/>
              <w:jc w:val="center"/>
              <w:rPr>
                <w:rFonts w:ascii="仿宋" w:hAnsi="仿宋" w:eastAsia="仿宋" w:cs="宋体"/>
                <w:kern w:val="0"/>
                <w:szCs w:val="28"/>
              </w:rPr>
            </w:pPr>
            <w:r>
              <w:rPr>
                <w:rFonts w:hint="eastAsia" w:ascii="仿宋" w:hAnsi="仿宋" w:eastAsia="仿宋" w:cs="宋体"/>
                <w:kern w:val="0"/>
                <w:szCs w:val="28"/>
              </w:rPr>
              <w:t>5425.34</w:t>
            </w:r>
          </w:p>
        </w:tc>
        <w:tc>
          <w:tcPr>
            <w:tcW w:w="1456" w:type="dxa"/>
            <w:tcBorders>
              <w:top w:val="nil"/>
              <w:left w:val="nil"/>
              <w:bottom w:val="single" w:color="auto" w:sz="4" w:space="0"/>
              <w:right w:val="single" w:color="auto" w:sz="4" w:space="0"/>
            </w:tcBorders>
            <w:shd w:val="clear" w:color="auto" w:fill="auto"/>
            <w:noWrap/>
            <w:vAlign w:val="center"/>
          </w:tcPr>
          <w:p w14:paraId="3185A652">
            <w:pPr>
              <w:widowControl/>
              <w:spacing w:line="240" w:lineRule="auto"/>
              <w:ind w:firstLine="0" w:firstLineChars="0"/>
              <w:jc w:val="center"/>
              <w:rPr>
                <w:rFonts w:ascii="仿宋" w:hAnsi="仿宋" w:eastAsia="仿宋" w:cs="宋体"/>
                <w:kern w:val="0"/>
                <w:szCs w:val="28"/>
              </w:rPr>
            </w:pPr>
            <w:r>
              <w:rPr>
                <w:rFonts w:hint="eastAsia" w:ascii="仿宋" w:hAnsi="仿宋" w:eastAsia="仿宋" w:cs="宋体"/>
                <w:kern w:val="0"/>
                <w:szCs w:val="28"/>
              </w:rPr>
              <w:t>1402.18</w:t>
            </w:r>
          </w:p>
        </w:tc>
        <w:tc>
          <w:tcPr>
            <w:tcW w:w="1234" w:type="dxa"/>
            <w:tcBorders>
              <w:top w:val="nil"/>
              <w:left w:val="nil"/>
              <w:bottom w:val="single" w:color="auto" w:sz="4" w:space="0"/>
              <w:right w:val="single" w:color="auto" w:sz="4" w:space="0"/>
            </w:tcBorders>
            <w:shd w:val="clear" w:color="auto" w:fill="auto"/>
            <w:noWrap/>
            <w:vAlign w:val="center"/>
          </w:tcPr>
          <w:p w14:paraId="6C87A88E">
            <w:pPr>
              <w:widowControl/>
              <w:spacing w:line="240" w:lineRule="auto"/>
              <w:ind w:firstLine="0" w:firstLineChars="0"/>
              <w:jc w:val="center"/>
              <w:rPr>
                <w:rFonts w:ascii="仿宋" w:hAnsi="仿宋" w:eastAsia="仿宋" w:cs="宋体"/>
                <w:kern w:val="0"/>
                <w:szCs w:val="28"/>
              </w:rPr>
            </w:pPr>
            <w:r>
              <w:rPr>
                <w:rFonts w:hint="eastAsia" w:ascii="仿宋" w:hAnsi="仿宋" w:eastAsia="仿宋" w:cs="宋体"/>
                <w:kern w:val="0"/>
                <w:szCs w:val="28"/>
              </w:rPr>
              <w:t>25.85%</w:t>
            </w:r>
          </w:p>
        </w:tc>
        <w:tc>
          <w:tcPr>
            <w:tcW w:w="1317" w:type="dxa"/>
            <w:tcBorders>
              <w:top w:val="nil"/>
              <w:left w:val="nil"/>
              <w:bottom w:val="single" w:color="auto" w:sz="4" w:space="0"/>
              <w:right w:val="single" w:color="auto" w:sz="4" w:space="0"/>
            </w:tcBorders>
            <w:shd w:val="clear" w:color="auto" w:fill="auto"/>
            <w:noWrap/>
            <w:vAlign w:val="center"/>
          </w:tcPr>
          <w:p w14:paraId="41DF1E87">
            <w:pPr>
              <w:widowControl/>
              <w:spacing w:line="240" w:lineRule="auto"/>
              <w:ind w:firstLine="0" w:firstLineChars="0"/>
              <w:jc w:val="center"/>
              <w:rPr>
                <w:rFonts w:ascii="仿宋" w:hAnsi="仿宋" w:eastAsia="仿宋" w:cs="宋体"/>
                <w:kern w:val="0"/>
                <w:szCs w:val="28"/>
              </w:rPr>
            </w:pPr>
            <w:r>
              <w:rPr>
                <w:rFonts w:hint="eastAsia" w:ascii="仿宋" w:hAnsi="仿宋" w:eastAsia="仿宋" w:cs="宋体"/>
                <w:kern w:val="0"/>
                <w:szCs w:val="28"/>
              </w:rPr>
              <w:t>4023.16</w:t>
            </w:r>
          </w:p>
        </w:tc>
        <w:tc>
          <w:tcPr>
            <w:tcW w:w="1234" w:type="dxa"/>
            <w:tcBorders>
              <w:top w:val="nil"/>
              <w:left w:val="nil"/>
              <w:bottom w:val="single" w:color="auto" w:sz="4" w:space="0"/>
              <w:right w:val="single" w:color="auto" w:sz="4" w:space="0"/>
            </w:tcBorders>
            <w:shd w:val="clear" w:color="auto" w:fill="auto"/>
            <w:noWrap/>
            <w:vAlign w:val="center"/>
          </w:tcPr>
          <w:p w14:paraId="4B654625">
            <w:pPr>
              <w:widowControl/>
              <w:spacing w:line="240" w:lineRule="auto"/>
              <w:ind w:firstLine="0" w:firstLineChars="0"/>
              <w:jc w:val="center"/>
              <w:rPr>
                <w:rFonts w:ascii="仿宋" w:hAnsi="仿宋" w:eastAsia="仿宋" w:cs="宋体"/>
                <w:kern w:val="0"/>
                <w:szCs w:val="28"/>
              </w:rPr>
            </w:pPr>
            <w:r>
              <w:rPr>
                <w:rFonts w:hint="eastAsia" w:ascii="仿宋" w:hAnsi="仿宋" w:eastAsia="仿宋" w:cs="宋体"/>
                <w:kern w:val="0"/>
                <w:szCs w:val="28"/>
              </w:rPr>
              <w:t>74.15%</w:t>
            </w:r>
          </w:p>
        </w:tc>
      </w:tr>
      <w:tr w14:paraId="20919338">
        <w:tblPrEx>
          <w:tblCellMar>
            <w:top w:w="0" w:type="dxa"/>
            <w:left w:w="108" w:type="dxa"/>
            <w:bottom w:w="0" w:type="dxa"/>
            <w:right w:w="108" w:type="dxa"/>
          </w:tblCellMar>
        </w:tblPrEx>
        <w:trPr>
          <w:trHeight w:val="392" w:hRule="atLeast"/>
        </w:trPr>
        <w:tc>
          <w:tcPr>
            <w:tcW w:w="694" w:type="dxa"/>
            <w:tcBorders>
              <w:top w:val="nil"/>
              <w:left w:val="single" w:color="auto" w:sz="4" w:space="0"/>
              <w:bottom w:val="single" w:color="auto" w:sz="4" w:space="0"/>
              <w:right w:val="single" w:color="auto" w:sz="4" w:space="0"/>
            </w:tcBorders>
            <w:shd w:val="clear" w:color="auto" w:fill="auto"/>
            <w:noWrap/>
            <w:vAlign w:val="center"/>
          </w:tcPr>
          <w:p w14:paraId="098C1A35">
            <w:pPr>
              <w:widowControl/>
              <w:spacing w:line="240" w:lineRule="auto"/>
              <w:ind w:firstLine="0" w:firstLineChars="0"/>
              <w:jc w:val="center"/>
              <w:rPr>
                <w:rFonts w:ascii="仿宋" w:hAnsi="仿宋" w:eastAsia="仿宋" w:cs="宋体"/>
                <w:kern w:val="0"/>
                <w:szCs w:val="28"/>
              </w:rPr>
            </w:pPr>
            <w:r>
              <w:rPr>
                <w:rFonts w:hint="eastAsia" w:ascii="仿宋" w:hAnsi="仿宋" w:eastAsia="仿宋" w:cs="宋体"/>
                <w:kern w:val="0"/>
                <w:szCs w:val="28"/>
              </w:rPr>
              <w:t>13</w:t>
            </w:r>
          </w:p>
        </w:tc>
        <w:tc>
          <w:tcPr>
            <w:tcW w:w="1453" w:type="dxa"/>
            <w:tcBorders>
              <w:top w:val="nil"/>
              <w:left w:val="nil"/>
              <w:bottom w:val="single" w:color="auto" w:sz="4" w:space="0"/>
              <w:right w:val="single" w:color="auto" w:sz="4" w:space="0"/>
            </w:tcBorders>
            <w:shd w:val="clear" w:color="auto" w:fill="auto"/>
            <w:noWrap/>
            <w:vAlign w:val="center"/>
          </w:tcPr>
          <w:p w14:paraId="2C08D35B">
            <w:pPr>
              <w:widowControl/>
              <w:spacing w:line="240" w:lineRule="auto"/>
              <w:ind w:firstLine="0" w:firstLineChars="0"/>
              <w:jc w:val="center"/>
              <w:rPr>
                <w:rFonts w:ascii="仿宋" w:hAnsi="仿宋" w:eastAsia="仿宋" w:cs="宋体"/>
                <w:kern w:val="0"/>
                <w:szCs w:val="28"/>
              </w:rPr>
            </w:pPr>
            <w:r>
              <w:rPr>
                <w:rFonts w:hint="eastAsia" w:ascii="仿宋" w:hAnsi="仿宋" w:eastAsia="仿宋" w:cs="宋体"/>
                <w:kern w:val="0"/>
                <w:szCs w:val="28"/>
              </w:rPr>
              <w:t>西岩农场</w:t>
            </w:r>
          </w:p>
        </w:tc>
        <w:tc>
          <w:tcPr>
            <w:tcW w:w="1570" w:type="dxa"/>
            <w:tcBorders>
              <w:top w:val="nil"/>
              <w:left w:val="nil"/>
              <w:bottom w:val="single" w:color="auto" w:sz="4" w:space="0"/>
              <w:right w:val="single" w:color="auto" w:sz="4" w:space="0"/>
            </w:tcBorders>
            <w:shd w:val="clear" w:color="auto" w:fill="auto"/>
            <w:noWrap/>
            <w:vAlign w:val="center"/>
          </w:tcPr>
          <w:p w14:paraId="7C323F90">
            <w:pPr>
              <w:widowControl/>
              <w:spacing w:line="240" w:lineRule="auto"/>
              <w:ind w:firstLine="0" w:firstLineChars="0"/>
              <w:jc w:val="center"/>
              <w:rPr>
                <w:rFonts w:ascii="仿宋" w:hAnsi="仿宋" w:eastAsia="仿宋" w:cs="宋体"/>
                <w:kern w:val="0"/>
                <w:szCs w:val="28"/>
              </w:rPr>
            </w:pPr>
            <w:r>
              <w:rPr>
                <w:rFonts w:hint="eastAsia" w:ascii="仿宋" w:hAnsi="仿宋" w:eastAsia="仿宋" w:cs="宋体"/>
                <w:kern w:val="0"/>
                <w:szCs w:val="28"/>
              </w:rPr>
              <w:t>53.33</w:t>
            </w:r>
          </w:p>
        </w:tc>
        <w:tc>
          <w:tcPr>
            <w:tcW w:w="1456" w:type="dxa"/>
            <w:tcBorders>
              <w:top w:val="nil"/>
              <w:left w:val="nil"/>
              <w:bottom w:val="single" w:color="auto" w:sz="4" w:space="0"/>
              <w:right w:val="single" w:color="auto" w:sz="4" w:space="0"/>
            </w:tcBorders>
            <w:shd w:val="clear" w:color="auto" w:fill="auto"/>
            <w:noWrap/>
            <w:vAlign w:val="center"/>
          </w:tcPr>
          <w:p w14:paraId="17948188">
            <w:pPr>
              <w:widowControl/>
              <w:spacing w:line="240" w:lineRule="auto"/>
              <w:ind w:firstLine="0" w:firstLineChars="0"/>
              <w:jc w:val="center"/>
              <w:rPr>
                <w:rFonts w:ascii="仿宋" w:hAnsi="仿宋" w:eastAsia="仿宋" w:cs="宋体"/>
                <w:kern w:val="0"/>
                <w:szCs w:val="28"/>
              </w:rPr>
            </w:pPr>
            <w:r>
              <w:rPr>
                <w:rFonts w:hint="eastAsia" w:ascii="仿宋" w:hAnsi="仿宋" w:eastAsia="仿宋" w:cs="宋体"/>
                <w:kern w:val="0"/>
                <w:szCs w:val="28"/>
              </w:rPr>
              <w:t>53.33</w:t>
            </w:r>
          </w:p>
        </w:tc>
        <w:tc>
          <w:tcPr>
            <w:tcW w:w="1234" w:type="dxa"/>
            <w:tcBorders>
              <w:top w:val="nil"/>
              <w:left w:val="nil"/>
              <w:bottom w:val="single" w:color="auto" w:sz="4" w:space="0"/>
              <w:right w:val="single" w:color="auto" w:sz="4" w:space="0"/>
            </w:tcBorders>
            <w:shd w:val="clear" w:color="auto" w:fill="auto"/>
            <w:noWrap/>
            <w:vAlign w:val="center"/>
          </w:tcPr>
          <w:p w14:paraId="6BE127E6">
            <w:pPr>
              <w:widowControl/>
              <w:spacing w:line="240" w:lineRule="auto"/>
              <w:ind w:firstLine="0" w:firstLineChars="0"/>
              <w:jc w:val="center"/>
              <w:rPr>
                <w:rFonts w:ascii="仿宋" w:hAnsi="仿宋" w:eastAsia="仿宋" w:cs="宋体"/>
                <w:kern w:val="0"/>
                <w:szCs w:val="28"/>
              </w:rPr>
            </w:pPr>
            <w:r>
              <w:rPr>
                <w:rFonts w:hint="eastAsia" w:ascii="仿宋" w:hAnsi="仿宋" w:eastAsia="仿宋" w:cs="宋体"/>
                <w:kern w:val="0"/>
                <w:szCs w:val="28"/>
              </w:rPr>
              <w:t>100.00%</w:t>
            </w:r>
          </w:p>
        </w:tc>
        <w:tc>
          <w:tcPr>
            <w:tcW w:w="1317" w:type="dxa"/>
            <w:tcBorders>
              <w:top w:val="nil"/>
              <w:left w:val="nil"/>
              <w:bottom w:val="single" w:color="auto" w:sz="4" w:space="0"/>
              <w:right w:val="single" w:color="auto" w:sz="4" w:space="0"/>
            </w:tcBorders>
            <w:shd w:val="clear" w:color="auto" w:fill="auto"/>
            <w:noWrap/>
            <w:vAlign w:val="center"/>
          </w:tcPr>
          <w:p w14:paraId="42BA89E3">
            <w:pPr>
              <w:widowControl/>
              <w:spacing w:line="240" w:lineRule="auto"/>
              <w:ind w:firstLine="0" w:firstLineChars="0"/>
              <w:jc w:val="center"/>
              <w:rPr>
                <w:rFonts w:ascii="仿宋" w:hAnsi="仿宋" w:eastAsia="仿宋" w:cs="宋体"/>
                <w:kern w:val="0"/>
                <w:szCs w:val="28"/>
              </w:rPr>
            </w:pPr>
            <w:r>
              <w:rPr>
                <w:rFonts w:hint="eastAsia" w:ascii="仿宋" w:hAnsi="仿宋" w:eastAsia="仿宋" w:cs="宋体"/>
                <w:kern w:val="0"/>
                <w:szCs w:val="28"/>
              </w:rPr>
              <w:t>0.00</w:t>
            </w:r>
          </w:p>
        </w:tc>
        <w:tc>
          <w:tcPr>
            <w:tcW w:w="1234" w:type="dxa"/>
            <w:tcBorders>
              <w:top w:val="nil"/>
              <w:left w:val="nil"/>
              <w:bottom w:val="single" w:color="auto" w:sz="4" w:space="0"/>
              <w:right w:val="single" w:color="auto" w:sz="4" w:space="0"/>
            </w:tcBorders>
            <w:shd w:val="clear" w:color="auto" w:fill="auto"/>
            <w:noWrap/>
            <w:vAlign w:val="center"/>
          </w:tcPr>
          <w:p w14:paraId="76FCE54A">
            <w:pPr>
              <w:widowControl/>
              <w:spacing w:line="240" w:lineRule="auto"/>
              <w:ind w:firstLine="0" w:firstLineChars="0"/>
              <w:jc w:val="center"/>
              <w:rPr>
                <w:rFonts w:ascii="仿宋" w:hAnsi="仿宋" w:eastAsia="仿宋" w:cs="宋体"/>
                <w:kern w:val="0"/>
                <w:szCs w:val="28"/>
              </w:rPr>
            </w:pPr>
            <w:r>
              <w:rPr>
                <w:rFonts w:hint="eastAsia" w:ascii="仿宋" w:hAnsi="仿宋" w:eastAsia="仿宋" w:cs="宋体"/>
                <w:kern w:val="0"/>
                <w:szCs w:val="28"/>
              </w:rPr>
              <w:t>0.00%</w:t>
            </w:r>
          </w:p>
        </w:tc>
      </w:tr>
      <w:tr w14:paraId="2D28CF13">
        <w:tblPrEx>
          <w:tblCellMar>
            <w:top w:w="0" w:type="dxa"/>
            <w:left w:w="108" w:type="dxa"/>
            <w:bottom w:w="0" w:type="dxa"/>
            <w:right w:w="108" w:type="dxa"/>
          </w:tblCellMar>
        </w:tblPrEx>
        <w:trPr>
          <w:trHeight w:val="392" w:hRule="atLeast"/>
        </w:trPr>
        <w:tc>
          <w:tcPr>
            <w:tcW w:w="694" w:type="dxa"/>
            <w:tcBorders>
              <w:top w:val="nil"/>
              <w:left w:val="single" w:color="auto" w:sz="4" w:space="0"/>
              <w:bottom w:val="single" w:color="auto" w:sz="4" w:space="0"/>
              <w:right w:val="single" w:color="auto" w:sz="4" w:space="0"/>
            </w:tcBorders>
            <w:shd w:val="clear" w:color="auto" w:fill="auto"/>
            <w:noWrap/>
            <w:vAlign w:val="center"/>
          </w:tcPr>
          <w:p w14:paraId="2B1130B3">
            <w:pPr>
              <w:widowControl/>
              <w:spacing w:line="240" w:lineRule="auto"/>
              <w:ind w:firstLine="0" w:firstLineChars="0"/>
              <w:jc w:val="center"/>
              <w:rPr>
                <w:rFonts w:ascii="仿宋" w:hAnsi="仿宋" w:eastAsia="仿宋" w:cs="宋体"/>
                <w:kern w:val="0"/>
                <w:szCs w:val="28"/>
              </w:rPr>
            </w:pPr>
            <w:r>
              <w:rPr>
                <w:rFonts w:hint="eastAsia" w:ascii="仿宋" w:hAnsi="仿宋" w:eastAsia="仿宋" w:cs="宋体"/>
                <w:kern w:val="0"/>
                <w:szCs w:val="28"/>
              </w:rPr>
              <w:t>14</w:t>
            </w:r>
          </w:p>
        </w:tc>
        <w:tc>
          <w:tcPr>
            <w:tcW w:w="1453" w:type="dxa"/>
            <w:tcBorders>
              <w:top w:val="nil"/>
              <w:left w:val="nil"/>
              <w:bottom w:val="single" w:color="auto" w:sz="4" w:space="0"/>
              <w:right w:val="single" w:color="auto" w:sz="4" w:space="0"/>
            </w:tcBorders>
            <w:shd w:val="clear" w:color="auto" w:fill="auto"/>
            <w:noWrap/>
            <w:vAlign w:val="center"/>
          </w:tcPr>
          <w:p w14:paraId="6AE67A53">
            <w:pPr>
              <w:widowControl/>
              <w:spacing w:line="240" w:lineRule="auto"/>
              <w:ind w:firstLine="0" w:firstLineChars="0"/>
              <w:jc w:val="center"/>
              <w:rPr>
                <w:rFonts w:ascii="仿宋" w:hAnsi="仿宋" w:eastAsia="仿宋" w:cs="宋体"/>
                <w:kern w:val="0"/>
                <w:szCs w:val="28"/>
              </w:rPr>
            </w:pPr>
            <w:r>
              <w:rPr>
                <w:rFonts w:hint="eastAsia" w:ascii="仿宋" w:hAnsi="仿宋" w:eastAsia="仿宋" w:cs="宋体"/>
                <w:kern w:val="0"/>
                <w:szCs w:val="28"/>
              </w:rPr>
              <w:t>土桥农场</w:t>
            </w:r>
          </w:p>
        </w:tc>
        <w:tc>
          <w:tcPr>
            <w:tcW w:w="1570" w:type="dxa"/>
            <w:tcBorders>
              <w:top w:val="nil"/>
              <w:left w:val="nil"/>
              <w:bottom w:val="single" w:color="auto" w:sz="4" w:space="0"/>
              <w:right w:val="single" w:color="auto" w:sz="4" w:space="0"/>
            </w:tcBorders>
            <w:shd w:val="clear" w:color="auto" w:fill="auto"/>
            <w:noWrap/>
            <w:vAlign w:val="center"/>
          </w:tcPr>
          <w:p w14:paraId="3ED7FDDA">
            <w:pPr>
              <w:widowControl/>
              <w:spacing w:line="240" w:lineRule="auto"/>
              <w:ind w:firstLine="0" w:firstLineChars="0"/>
              <w:jc w:val="center"/>
              <w:rPr>
                <w:rFonts w:ascii="仿宋" w:hAnsi="仿宋" w:eastAsia="仿宋" w:cs="宋体"/>
                <w:kern w:val="0"/>
                <w:szCs w:val="28"/>
              </w:rPr>
            </w:pPr>
            <w:r>
              <w:rPr>
                <w:rFonts w:hint="eastAsia" w:ascii="仿宋" w:hAnsi="仿宋" w:eastAsia="仿宋" w:cs="宋体"/>
                <w:kern w:val="0"/>
                <w:szCs w:val="28"/>
              </w:rPr>
              <w:t>1262.83</w:t>
            </w:r>
          </w:p>
        </w:tc>
        <w:tc>
          <w:tcPr>
            <w:tcW w:w="1456" w:type="dxa"/>
            <w:tcBorders>
              <w:top w:val="nil"/>
              <w:left w:val="nil"/>
              <w:bottom w:val="single" w:color="auto" w:sz="4" w:space="0"/>
              <w:right w:val="single" w:color="auto" w:sz="4" w:space="0"/>
            </w:tcBorders>
            <w:shd w:val="clear" w:color="auto" w:fill="auto"/>
            <w:noWrap/>
            <w:vAlign w:val="center"/>
          </w:tcPr>
          <w:p w14:paraId="127DE8E7">
            <w:pPr>
              <w:widowControl/>
              <w:spacing w:line="240" w:lineRule="auto"/>
              <w:ind w:firstLine="0" w:firstLineChars="0"/>
              <w:jc w:val="center"/>
              <w:rPr>
                <w:rFonts w:ascii="仿宋" w:hAnsi="仿宋" w:eastAsia="仿宋" w:cs="宋体"/>
                <w:kern w:val="0"/>
                <w:szCs w:val="28"/>
              </w:rPr>
            </w:pPr>
            <w:r>
              <w:rPr>
                <w:rFonts w:hint="eastAsia" w:ascii="仿宋" w:hAnsi="仿宋" w:eastAsia="仿宋" w:cs="宋体"/>
                <w:kern w:val="0"/>
                <w:szCs w:val="28"/>
              </w:rPr>
              <w:t>1069.41</w:t>
            </w:r>
          </w:p>
        </w:tc>
        <w:tc>
          <w:tcPr>
            <w:tcW w:w="1234" w:type="dxa"/>
            <w:tcBorders>
              <w:top w:val="nil"/>
              <w:left w:val="nil"/>
              <w:bottom w:val="single" w:color="auto" w:sz="4" w:space="0"/>
              <w:right w:val="single" w:color="auto" w:sz="4" w:space="0"/>
            </w:tcBorders>
            <w:shd w:val="clear" w:color="auto" w:fill="auto"/>
            <w:noWrap/>
            <w:vAlign w:val="center"/>
          </w:tcPr>
          <w:p w14:paraId="2F663BD1">
            <w:pPr>
              <w:widowControl/>
              <w:spacing w:line="240" w:lineRule="auto"/>
              <w:ind w:firstLine="0" w:firstLineChars="0"/>
              <w:jc w:val="center"/>
              <w:rPr>
                <w:rFonts w:ascii="仿宋" w:hAnsi="仿宋" w:eastAsia="仿宋" w:cs="宋体"/>
                <w:kern w:val="0"/>
                <w:szCs w:val="28"/>
              </w:rPr>
            </w:pPr>
            <w:r>
              <w:rPr>
                <w:rFonts w:hint="eastAsia" w:ascii="仿宋" w:hAnsi="仿宋" w:eastAsia="仿宋" w:cs="宋体"/>
                <w:kern w:val="0"/>
                <w:szCs w:val="28"/>
              </w:rPr>
              <w:t>84.68%</w:t>
            </w:r>
          </w:p>
        </w:tc>
        <w:tc>
          <w:tcPr>
            <w:tcW w:w="1317" w:type="dxa"/>
            <w:tcBorders>
              <w:top w:val="nil"/>
              <w:left w:val="nil"/>
              <w:bottom w:val="single" w:color="auto" w:sz="4" w:space="0"/>
              <w:right w:val="single" w:color="auto" w:sz="4" w:space="0"/>
            </w:tcBorders>
            <w:shd w:val="clear" w:color="auto" w:fill="auto"/>
            <w:noWrap/>
            <w:vAlign w:val="center"/>
          </w:tcPr>
          <w:p w14:paraId="37A9C05C">
            <w:pPr>
              <w:widowControl/>
              <w:spacing w:line="240" w:lineRule="auto"/>
              <w:ind w:firstLine="0" w:firstLineChars="0"/>
              <w:jc w:val="center"/>
              <w:rPr>
                <w:rFonts w:ascii="仿宋" w:hAnsi="仿宋" w:eastAsia="仿宋" w:cs="宋体"/>
                <w:kern w:val="0"/>
                <w:szCs w:val="28"/>
              </w:rPr>
            </w:pPr>
            <w:r>
              <w:rPr>
                <w:rFonts w:hint="eastAsia" w:ascii="仿宋" w:hAnsi="仿宋" w:eastAsia="仿宋" w:cs="宋体"/>
                <w:kern w:val="0"/>
                <w:szCs w:val="28"/>
              </w:rPr>
              <w:t>193.42</w:t>
            </w:r>
          </w:p>
        </w:tc>
        <w:tc>
          <w:tcPr>
            <w:tcW w:w="1234" w:type="dxa"/>
            <w:tcBorders>
              <w:top w:val="nil"/>
              <w:left w:val="nil"/>
              <w:bottom w:val="single" w:color="auto" w:sz="4" w:space="0"/>
              <w:right w:val="single" w:color="auto" w:sz="4" w:space="0"/>
            </w:tcBorders>
            <w:shd w:val="clear" w:color="auto" w:fill="auto"/>
            <w:noWrap/>
            <w:vAlign w:val="center"/>
          </w:tcPr>
          <w:p w14:paraId="631DA542">
            <w:pPr>
              <w:widowControl/>
              <w:spacing w:line="240" w:lineRule="auto"/>
              <w:ind w:firstLine="0" w:firstLineChars="0"/>
              <w:jc w:val="center"/>
              <w:rPr>
                <w:rFonts w:ascii="仿宋" w:hAnsi="仿宋" w:eastAsia="仿宋" w:cs="宋体"/>
                <w:kern w:val="0"/>
                <w:szCs w:val="28"/>
              </w:rPr>
            </w:pPr>
            <w:r>
              <w:rPr>
                <w:rFonts w:hint="eastAsia" w:ascii="仿宋" w:hAnsi="仿宋" w:eastAsia="仿宋" w:cs="宋体"/>
                <w:kern w:val="0"/>
                <w:szCs w:val="28"/>
              </w:rPr>
              <w:t>15.32%</w:t>
            </w:r>
          </w:p>
        </w:tc>
      </w:tr>
      <w:tr w14:paraId="4C8587F2">
        <w:tblPrEx>
          <w:tblCellMar>
            <w:top w:w="0" w:type="dxa"/>
            <w:left w:w="108" w:type="dxa"/>
            <w:bottom w:w="0" w:type="dxa"/>
            <w:right w:w="108" w:type="dxa"/>
          </w:tblCellMar>
        </w:tblPrEx>
        <w:trPr>
          <w:trHeight w:val="392" w:hRule="atLeast"/>
        </w:trPr>
        <w:tc>
          <w:tcPr>
            <w:tcW w:w="694" w:type="dxa"/>
            <w:tcBorders>
              <w:top w:val="nil"/>
              <w:left w:val="single" w:color="auto" w:sz="4" w:space="0"/>
              <w:bottom w:val="single" w:color="auto" w:sz="4" w:space="0"/>
              <w:right w:val="single" w:color="auto" w:sz="4" w:space="0"/>
            </w:tcBorders>
            <w:shd w:val="clear" w:color="auto" w:fill="auto"/>
            <w:noWrap/>
            <w:vAlign w:val="center"/>
          </w:tcPr>
          <w:p w14:paraId="58D4B9C4">
            <w:pPr>
              <w:widowControl/>
              <w:spacing w:line="240" w:lineRule="auto"/>
              <w:ind w:firstLine="0" w:firstLineChars="0"/>
              <w:jc w:val="center"/>
              <w:rPr>
                <w:rFonts w:ascii="仿宋" w:hAnsi="仿宋" w:eastAsia="仿宋" w:cs="宋体"/>
                <w:kern w:val="0"/>
                <w:szCs w:val="28"/>
              </w:rPr>
            </w:pPr>
            <w:r>
              <w:rPr>
                <w:rFonts w:hint="eastAsia" w:ascii="仿宋" w:hAnsi="仿宋" w:eastAsia="仿宋" w:cs="宋体"/>
                <w:kern w:val="0"/>
                <w:szCs w:val="28"/>
              </w:rPr>
              <w:t>15</w:t>
            </w:r>
          </w:p>
        </w:tc>
        <w:tc>
          <w:tcPr>
            <w:tcW w:w="1453" w:type="dxa"/>
            <w:tcBorders>
              <w:top w:val="nil"/>
              <w:left w:val="nil"/>
              <w:bottom w:val="single" w:color="auto" w:sz="4" w:space="0"/>
              <w:right w:val="single" w:color="auto" w:sz="4" w:space="0"/>
            </w:tcBorders>
            <w:shd w:val="clear" w:color="auto" w:fill="auto"/>
            <w:noWrap/>
            <w:vAlign w:val="center"/>
          </w:tcPr>
          <w:p w14:paraId="0838BE63">
            <w:pPr>
              <w:widowControl/>
              <w:spacing w:line="240" w:lineRule="auto"/>
              <w:ind w:firstLine="0" w:firstLineChars="0"/>
              <w:jc w:val="center"/>
              <w:rPr>
                <w:rFonts w:ascii="仿宋" w:hAnsi="仿宋" w:eastAsia="仿宋" w:cs="宋体"/>
                <w:kern w:val="0"/>
                <w:szCs w:val="28"/>
              </w:rPr>
            </w:pPr>
            <w:r>
              <w:rPr>
                <w:rFonts w:hint="eastAsia" w:ascii="仿宋" w:hAnsi="仿宋" w:eastAsia="仿宋" w:cs="宋体"/>
                <w:kern w:val="0"/>
                <w:szCs w:val="28"/>
              </w:rPr>
              <w:t>县种子园</w:t>
            </w:r>
          </w:p>
        </w:tc>
        <w:tc>
          <w:tcPr>
            <w:tcW w:w="1570" w:type="dxa"/>
            <w:tcBorders>
              <w:top w:val="nil"/>
              <w:left w:val="nil"/>
              <w:bottom w:val="single" w:color="auto" w:sz="4" w:space="0"/>
              <w:right w:val="single" w:color="auto" w:sz="4" w:space="0"/>
            </w:tcBorders>
            <w:shd w:val="clear" w:color="auto" w:fill="auto"/>
            <w:noWrap/>
            <w:vAlign w:val="center"/>
          </w:tcPr>
          <w:p w14:paraId="0BEB53A2">
            <w:pPr>
              <w:widowControl/>
              <w:spacing w:line="240" w:lineRule="auto"/>
              <w:ind w:firstLine="0" w:firstLineChars="0"/>
              <w:jc w:val="center"/>
              <w:rPr>
                <w:rFonts w:ascii="仿宋" w:hAnsi="仿宋" w:eastAsia="仿宋" w:cs="宋体"/>
                <w:kern w:val="0"/>
                <w:szCs w:val="28"/>
              </w:rPr>
            </w:pPr>
            <w:r>
              <w:rPr>
                <w:rFonts w:hint="eastAsia" w:ascii="仿宋" w:hAnsi="仿宋" w:eastAsia="仿宋" w:cs="宋体"/>
                <w:kern w:val="0"/>
                <w:szCs w:val="28"/>
              </w:rPr>
              <w:t>104.20</w:t>
            </w:r>
          </w:p>
        </w:tc>
        <w:tc>
          <w:tcPr>
            <w:tcW w:w="1456" w:type="dxa"/>
            <w:tcBorders>
              <w:top w:val="nil"/>
              <w:left w:val="nil"/>
              <w:bottom w:val="single" w:color="auto" w:sz="4" w:space="0"/>
              <w:right w:val="single" w:color="auto" w:sz="4" w:space="0"/>
            </w:tcBorders>
            <w:shd w:val="clear" w:color="auto" w:fill="auto"/>
            <w:noWrap/>
            <w:vAlign w:val="center"/>
          </w:tcPr>
          <w:p w14:paraId="4D724469">
            <w:pPr>
              <w:widowControl/>
              <w:spacing w:line="240" w:lineRule="auto"/>
              <w:ind w:firstLine="0" w:firstLineChars="0"/>
              <w:jc w:val="center"/>
              <w:rPr>
                <w:rFonts w:ascii="仿宋" w:hAnsi="仿宋" w:eastAsia="仿宋" w:cs="宋体"/>
                <w:kern w:val="0"/>
                <w:szCs w:val="28"/>
              </w:rPr>
            </w:pPr>
            <w:r>
              <w:rPr>
                <w:rFonts w:hint="eastAsia" w:ascii="仿宋" w:hAnsi="仿宋" w:eastAsia="仿宋" w:cs="宋体"/>
                <w:kern w:val="0"/>
                <w:szCs w:val="28"/>
              </w:rPr>
              <w:t>11.39</w:t>
            </w:r>
          </w:p>
        </w:tc>
        <w:tc>
          <w:tcPr>
            <w:tcW w:w="1234" w:type="dxa"/>
            <w:tcBorders>
              <w:top w:val="nil"/>
              <w:left w:val="nil"/>
              <w:bottom w:val="single" w:color="auto" w:sz="4" w:space="0"/>
              <w:right w:val="single" w:color="auto" w:sz="4" w:space="0"/>
            </w:tcBorders>
            <w:shd w:val="clear" w:color="auto" w:fill="auto"/>
            <w:noWrap/>
            <w:vAlign w:val="center"/>
          </w:tcPr>
          <w:p w14:paraId="3B0F459F">
            <w:pPr>
              <w:widowControl/>
              <w:spacing w:line="240" w:lineRule="auto"/>
              <w:ind w:firstLine="0" w:firstLineChars="0"/>
              <w:jc w:val="center"/>
              <w:rPr>
                <w:rFonts w:ascii="仿宋" w:hAnsi="仿宋" w:eastAsia="仿宋" w:cs="宋体"/>
                <w:kern w:val="0"/>
                <w:szCs w:val="28"/>
              </w:rPr>
            </w:pPr>
            <w:r>
              <w:rPr>
                <w:rFonts w:hint="eastAsia" w:ascii="仿宋" w:hAnsi="仿宋" w:eastAsia="仿宋" w:cs="宋体"/>
                <w:kern w:val="0"/>
                <w:szCs w:val="28"/>
              </w:rPr>
              <w:t>10.93%</w:t>
            </w:r>
          </w:p>
        </w:tc>
        <w:tc>
          <w:tcPr>
            <w:tcW w:w="1317" w:type="dxa"/>
            <w:tcBorders>
              <w:top w:val="nil"/>
              <w:left w:val="nil"/>
              <w:bottom w:val="single" w:color="auto" w:sz="4" w:space="0"/>
              <w:right w:val="single" w:color="auto" w:sz="4" w:space="0"/>
            </w:tcBorders>
            <w:shd w:val="clear" w:color="auto" w:fill="auto"/>
            <w:noWrap/>
            <w:vAlign w:val="center"/>
          </w:tcPr>
          <w:p w14:paraId="5124F041">
            <w:pPr>
              <w:widowControl/>
              <w:spacing w:line="240" w:lineRule="auto"/>
              <w:ind w:firstLine="0" w:firstLineChars="0"/>
              <w:jc w:val="center"/>
              <w:rPr>
                <w:rFonts w:ascii="仿宋" w:hAnsi="仿宋" w:eastAsia="仿宋" w:cs="宋体"/>
                <w:kern w:val="0"/>
                <w:szCs w:val="28"/>
              </w:rPr>
            </w:pPr>
            <w:r>
              <w:rPr>
                <w:rFonts w:hint="eastAsia" w:ascii="仿宋" w:hAnsi="仿宋" w:eastAsia="仿宋" w:cs="宋体"/>
                <w:kern w:val="0"/>
                <w:szCs w:val="28"/>
              </w:rPr>
              <w:t>92.81</w:t>
            </w:r>
          </w:p>
        </w:tc>
        <w:tc>
          <w:tcPr>
            <w:tcW w:w="1234" w:type="dxa"/>
            <w:tcBorders>
              <w:top w:val="nil"/>
              <w:left w:val="nil"/>
              <w:bottom w:val="single" w:color="auto" w:sz="4" w:space="0"/>
              <w:right w:val="single" w:color="auto" w:sz="4" w:space="0"/>
            </w:tcBorders>
            <w:shd w:val="clear" w:color="auto" w:fill="auto"/>
            <w:noWrap/>
            <w:vAlign w:val="center"/>
          </w:tcPr>
          <w:p w14:paraId="2242717D">
            <w:pPr>
              <w:widowControl/>
              <w:spacing w:line="240" w:lineRule="auto"/>
              <w:ind w:firstLine="0" w:firstLineChars="0"/>
              <w:jc w:val="center"/>
              <w:rPr>
                <w:rFonts w:ascii="仿宋" w:hAnsi="仿宋" w:eastAsia="仿宋" w:cs="宋体"/>
                <w:kern w:val="0"/>
                <w:szCs w:val="28"/>
              </w:rPr>
            </w:pPr>
            <w:r>
              <w:rPr>
                <w:rFonts w:hint="eastAsia" w:ascii="仿宋" w:hAnsi="仿宋" w:eastAsia="仿宋" w:cs="宋体"/>
                <w:kern w:val="0"/>
                <w:szCs w:val="28"/>
              </w:rPr>
              <w:t>89.07%</w:t>
            </w:r>
          </w:p>
        </w:tc>
      </w:tr>
      <w:tr w14:paraId="4CDAAFFA">
        <w:tblPrEx>
          <w:tblCellMar>
            <w:top w:w="0" w:type="dxa"/>
            <w:left w:w="108" w:type="dxa"/>
            <w:bottom w:w="0" w:type="dxa"/>
            <w:right w:w="108" w:type="dxa"/>
          </w:tblCellMar>
        </w:tblPrEx>
        <w:trPr>
          <w:trHeight w:val="392" w:hRule="atLeast"/>
        </w:trPr>
        <w:tc>
          <w:tcPr>
            <w:tcW w:w="694" w:type="dxa"/>
            <w:tcBorders>
              <w:top w:val="nil"/>
              <w:left w:val="single" w:color="auto" w:sz="4" w:space="0"/>
              <w:bottom w:val="single" w:color="auto" w:sz="4" w:space="0"/>
              <w:right w:val="single" w:color="auto" w:sz="4" w:space="0"/>
            </w:tcBorders>
            <w:shd w:val="clear" w:color="auto" w:fill="auto"/>
            <w:noWrap/>
            <w:vAlign w:val="center"/>
          </w:tcPr>
          <w:p w14:paraId="6FF55566">
            <w:pPr>
              <w:widowControl/>
              <w:spacing w:line="240" w:lineRule="auto"/>
              <w:ind w:firstLine="0" w:firstLineChars="0"/>
              <w:jc w:val="center"/>
              <w:rPr>
                <w:rFonts w:ascii="仿宋" w:hAnsi="仿宋" w:eastAsia="仿宋" w:cs="宋体"/>
                <w:kern w:val="0"/>
                <w:szCs w:val="28"/>
              </w:rPr>
            </w:pPr>
            <w:r>
              <w:rPr>
                <w:rFonts w:hint="eastAsia" w:ascii="仿宋" w:hAnsi="仿宋" w:eastAsia="仿宋" w:cs="宋体"/>
                <w:kern w:val="0"/>
                <w:szCs w:val="28"/>
              </w:rPr>
              <w:t>16</w:t>
            </w:r>
          </w:p>
        </w:tc>
        <w:tc>
          <w:tcPr>
            <w:tcW w:w="1453" w:type="dxa"/>
            <w:tcBorders>
              <w:top w:val="nil"/>
              <w:left w:val="nil"/>
              <w:bottom w:val="single" w:color="auto" w:sz="4" w:space="0"/>
              <w:right w:val="single" w:color="auto" w:sz="4" w:space="0"/>
            </w:tcBorders>
            <w:shd w:val="clear" w:color="auto" w:fill="auto"/>
            <w:noWrap/>
            <w:vAlign w:val="center"/>
          </w:tcPr>
          <w:p w14:paraId="1C89C35A">
            <w:pPr>
              <w:widowControl/>
              <w:spacing w:line="240" w:lineRule="auto"/>
              <w:ind w:firstLine="0" w:firstLineChars="0"/>
              <w:jc w:val="center"/>
              <w:rPr>
                <w:rFonts w:ascii="仿宋" w:hAnsi="仿宋" w:eastAsia="仿宋" w:cs="宋体"/>
                <w:kern w:val="0"/>
                <w:szCs w:val="28"/>
              </w:rPr>
            </w:pPr>
            <w:r>
              <w:rPr>
                <w:rFonts w:hint="eastAsia" w:ascii="仿宋" w:hAnsi="仿宋" w:eastAsia="仿宋" w:cs="宋体"/>
                <w:kern w:val="0"/>
                <w:szCs w:val="28"/>
              </w:rPr>
              <w:t>云马林场</w:t>
            </w:r>
          </w:p>
        </w:tc>
        <w:tc>
          <w:tcPr>
            <w:tcW w:w="1570" w:type="dxa"/>
            <w:tcBorders>
              <w:top w:val="nil"/>
              <w:left w:val="nil"/>
              <w:bottom w:val="single" w:color="auto" w:sz="4" w:space="0"/>
              <w:right w:val="single" w:color="auto" w:sz="4" w:space="0"/>
            </w:tcBorders>
            <w:shd w:val="clear" w:color="auto" w:fill="auto"/>
            <w:noWrap/>
            <w:vAlign w:val="center"/>
          </w:tcPr>
          <w:p w14:paraId="1A1F0B91">
            <w:pPr>
              <w:widowControl/>
              <w:spacing w:line="240" w:lineRule="auto"/>
              <w:ind w:firstLine="0" w:firstLineChars="0"/>
              <w:jc w:val="center"/>
              <w:rPr>
                <w:rFonts w:ascii="仿宋" w:hAnsi="仿宋" w:eastAsia="仿宋" w:cs="宋体"/>
                <w:kern w:val="0"/>
                <w:szCs w:val="28"/>
              </w:rPr>
            </w:pPr>
            <w:r>
              <w:rPr>
                <w:rFonts w:hint="eastAsia" w:ascii="仿宋" w:hAnsi="仿宋" w:eastAsia="仿宋" w:cs="宋体"/>
                <w:kern w:val="0"/>
                <w:szCs w:val="28"/>
              </w:rPr>
              <w:t>10452.58</w:t>
            </w:r>
          </w:p>
        </w:tc>
        <w:tc>
          <w:tcPr>
            <w:tcW w:w="1456" w:type="dxa"/>
            <w:tcBorders>
              <w:top w:val="nil"/>
              <w:left w:val="nil"/>
              <w:bottom w:val="single" w:color="auto" w:sz="4" w:space="0"/>
              <w:right w:val="single" w:color="auto" w:sz="4" w:space="0"/>
            </w:tcBorders>
            <w:shd w:val="clear" w:color="auto" w:fill="auto"/>
            <w:noWrap/>
            <w:vAlign w:val="center"/>
          </w:tcPr>
          <w:p w14:paraId="7FB58776">
            <w:pPr>
              <w:widowControl/>
              <w:spacing w:line="240" w:lineRule="auto"/>
              <w:ind w:firstLine="0" w:firstLineChars="0"/>
              <w:jc w:val="center"/>
              <w:rPr>
                <w:rFonts w:ascii="仿宋" w:hAnsi="仿宋" w:eastAsia="仿宋" w:cs="宋体"/>
                <w:kern w:val="0"/>
                <w:szCs w:val="28"/>
              </w:rPr>
            </w:pPr>
            <w:r>
              <w:rPr>
                <w:rFonts w:hint="eastAsia" w:ascii="仿宋" w:hAnsi="仿宋" w:eastAsia="仿宋" w:cs="宋体"/>
                <w:kern w:val="0"/>
                <w:szCs w:val="28"/>
              </w:rPr>
              <w:t>7998.91</w:t>
            </w:r>
          </w:p>
        </w:tc>
        <w:tc>
          <w:tcPr>
            <w:tcW w:w="1234" w:type="dxa"/>
            <w:tcBorders>
              <w:top w:val="nil"/>
              <w:left w:val="nil"/>
              <w:bottom w:val="single" w:color="auto" w:sz="4" w:space="0"/>
              <w:right w:val="single" w:color="auto" w:sz="4" w:space="0"/>
            </w:tcBorders>
            <w:shd w:val="clear" w:color="auto" w:fill="auto"/>
            <w:noWrap/>
            <w:vAlign w:val="center"/>
          </w:tcPr>
          <w:p w14:paraId="408C0C5A">
            <w:pPr>
              <w:widowControl/>
              <w:spacing w:line="240" w:lineRule="auto"/>
              <w:ind w:firstLine="0" w:firstLineChars="0"/>
              <w:jc w:val="center"/>
              <w:rPr>
                <w:rFonts w:ascii="仿宋" w:hAnsi="仿宋" w:eastAsia="仿宋" w:cs="宋体"/>
                <w:kern w:val="0"/>
                <w:szCs w:val="28"/>
              </w:rPr>
            </w:pPr>
            <w:r>
              <w:rPr>
                <w:rFonts w:hint="eastAsia" w:ascii="仿宋" w:hAnsi="仿宋" w:eastAsia="仿宋" w:cs="宋体"/>
                <w:kern w:val="0"/>
                <w:szCs w:val="28"/>
              </w:rPr>
              <w:t>76.53%</w:t>
            </w:r>
          </w:p>
        </w:tc>
        <w:tc>
          <w:tcPr>
            <w:tcW w:w="1317" w:type="dxa"/>
            <w:tcBorders>
              <w:top w:val="nil"/>
              <w:left w:val="nil"/>
              <w:bottom w:val="single" w:color="auto" w:sz="4" w:space="0"/>
              <w:right w:val="single" w:color="auto" w:sz="4" w:space="0"/>
            </w:tcBorders>
            <w:shd w:val="clear" w:color="auto" w:fill="auto"/>
            <w:noWrap/>
            <w:vAlign w:val="center"/>
          </w:tcPr>
          <w:p w14:paraId="11D56B92">
            <w:pPr>
              <w:widowControl/>
              <w:spacing w:line="240" w:lineRule="auto"/>
              <w:ind w:firstLine="0" w:firstLineChars="0"/>
              <w:jc w:val="center"/>
              <w:rPr>
                <w:rFonts w:ascii="仿宋" w:hAnsi="仿宋" w:eastAsia="仿宋" w:cs="宋体"/>
                <w:kern w:val="0"/>
                <w:szCs w:val="28"/>
              </w:rPr>
            </w:pPr>
            <w:r>
              <w:rPr>
                <w:rFonts w:hint="eastAsia" w:ascii="仿宋" w:hAnsi="仿宋" w:eastAsia="仿宋" w:cs="宋体"/>
                <w:kern w:val="0"/>
                <w:szCs w:val="28"/>
              </w:rPr>
              <w:t>2453.68</w:t>
            </w:r>
          </w:p>
        </w:tc>
        <w:tc>
          <w:tcPr>
            <w:tcW w:w="1234" w:type="dxa"/>
            <w:tcBorders>
              <w:top w:val="nil"/>
              <w:left w:val="nil"/>
              <w:bottom w:val="single" w:color="auto" w:sz="4" w:space="0"/>
              <w:right w:val="single" w:color="auto" w:sz="4" w:space="0"/>
            </w:tcBorders>
            <w:shd w:val="clear" w:color="auto" w:fill="auto"/>
            <w:noWrap/>
            <w:vAlign w:val="center"/>
          </w:tcPr>
          <w:p w14:paraId="57965919">
            <w:pPr>
              <w:widowControl/>
              <w:spacing w:line="240" w:lineRule="auto"/>
              <w:ind w:firstLine="0" w:firstLineChars="0"/>
              <w:jc w:val="center"/>
              <w:rPr>
                <w:rFonts w:ascii="仿宋" w:hAnsi="仿宋" w:eastAsia="仿宋" w:cs="宋体"/>
                <w:kern w:val="0"/>
                <w:szCs w:val="28"/>
              </w:rPr>
            </w:pPr>
            <w:r>
              <w:rPr>
                <w:rFonts w:hint="eastAsia" w:ascii="仿宋" w:hAnsi="仿宋" w:eastAsia="仿宋" w:cs="宋体"/>
                <w:kern w:val="0"/>
                <w:szCs w:val="28"/>
              </w:rPr>
              <w:t>23.47%</w:t>
            </w:r>
          </w:p>
        </w:tc>
      </w:tr>
      <w:tr w14:paraId="42093F1E">
        <w:tblPrEx>
          <w:tblCellMar>
            <w:top w:w="0" w:type="dxa"/>
            <w:left w:w="108" w:type="dxa"/>
            <w:bottom w:w="0" w:type="dxa"/>
            <w:right w:w="108" w:type="dxa"/>
          </w:tblCellMar>
        </w:tblPrEx>
        <w:trPr>
          <w:trHeight w:val="392" w:hRule="atLeast"/>
        </w:trPr>
        <w:tc>
          <w:tcPr>
            <w:tcW w:w="694" w:type="dxa"/>
            <w:tcBorders>
              <w:top w:val="nil"/>
              <w:left w:val="single" w:color="auto" w:sz="4" w:space="0"/>
              <w:bottom w:val="single" w:color="auto" w:sz="4" w:space="0"/>
              <w:right w:val="single" w:color="auto" w:sz="4" w:space="0"/>
            </w:tcBorders>
            <w:shd w:val="clear" w:color="auto" w:fill="auto"/>
            <w:noWrap/>
            <w:vAlign w:val="center"/>
          </w:tcPr>
          <w:p w14:paraId="0E4537A5">
            <w:pPr>
              <w:widowControl/>
              <w:spacing w:line="240" w:lineRule="auto"/>
              <w:ind w:firstLine="0" w:firstLineChars="0"/>
              <w:jc w:val="center"/>
              <w:rPr>
                <w:rFonts w:ascii="仿宋" w:hAnsi="仿宋" w:eastAsia="仿宋" w:cs="宋体"/>
                <w:kern w:val="0"/>
                <w:szCs w:val="28"/>
              </w:rPr>
            </w:pPr>
            <w:r>
              <w:rPr>
                <w:rFonts w:hint="eastAsia" w:ascii="仿宋" w:hAnsi="仿宋" w:eastAsia="仿宋" w:cs="宋体"/>
                <w:kern w:val="0"/>
                <w:szCs w:val="28"/>
              </w:rPr>
              <w:t>17</w:t>
            </w:r>
          </w:p>
        </w:tc>
        <w:tc>
          <w:tcPr>
            <w:tcW w:w="1453" w:type="dxa"/>
            <w:tcBorders>
              <w:top w:val="nil"/>
              <w:left w:val="nil"/>
              <w:bottom w:val="single" w:color="auto" w:sz="4" w:space="0"/>
              <w:right w:val="single" w:color="auto" w:sz="4" w:space="0"/>
            </w:tcBorders>
            <w:shd w:val="clear" w:color="auto" w:fill="auto"/>
            <w:noWrap/>
            <w:vAlign w:val="center"/>
          </w:tcPr>
          <w:p w14:paraId="177FCEC7">
            <w:pPr>
              <w:widowControl/>
              <w:spacing w:line="240" w:lineRule="auto"/>
              <w:ind w:firstLine="0" w:firstLineChars="0"/>
              <w:jc w:val="center"/>
              <w:rPr>
                <w:rFonts w:ascii="仿宋" w:hAnsi="仿宋" w:eastAsia="仿宋" w:cs="宋体"/>
                <w:kern w:val="0"/>
                <w:szCs w:val="28"/>
              </w:rPr>
            </w:pPr>
            <w:r>
              <w:rPr>
                <w:rFonts w:hint="eastAsia" w:ascii="仿宋" w:hAnsi="仿宋" w:eastAsia="仿宋" w:cs="宋体"/>
                <w:kern w:val="0"/>
                <w:szCs w:val="28"/>
              </w:rPr>
              <w:t>南洞林场</w:t>
            </w:r>
          </w:p>
        </w:tc>
        <w:tc>
          <w:tcPr>
            <w:tcW w:w="1570" w:type="dxa"/>
            <w:tcBorders>
              <w:top w:val="nil"/>
              <w:left w:val="nil"/>
              <w:bottom w:val="single" w:color="auto" w:sz="4" w:space="0"/>
              <w:right w:val="single" w:color="auto" w:sz="4" w:space="0"/>
            </w:tcBorders>
            <w:shd w:val="clear" w:color="auto" w:fill="auto"/>
            <w:noWrap/>
            <w:vAlign w:val="center"/>
          </w:tcPr>
          <w:p w14:paraId="39553C8D">
            <w:pPr>
              <w:widowControl/>
              <w:spacing w:line="240" w:lineRule="auto"/>
              <w:ind w:firstLine="0" w:firstLineChars="0"/>
              <w:jc w:val="center"/>
              <w:rPr>
                <w:rFonts w:ascii="仿宋" w:hAnsi="仿宋" w:eastAsia="仿宋" w:cs="宋体"/>
                <w:kern w:val="0"/>
                <w:szCs w:val="28"/>
              </w:rPr>
            </w:pPr>
            <w:r>
              <w:rPr>
                <w:rFonts w:hint="eastAsia" w:ascii="仿宋" w:hAnsi="仿宋" w:eastAsia="仿宋" w:cs="宋体"/>
                <w:kern w:val="0"/>
                <w:szCs w:val="28"/>
              </w:rPr>
              <w:t>21033.44</w:t>
            </w:r>
          </w:p>
        </w:tc>
        <w:tc>
          <w:tcPr>
            <w:tcW w:w="1456" w:type="dxa"/>
            <w:tcBorders>
              <w:top w:val="nil"/>
              <w:left w:val="nil"/>
              <w:bottom w:val="single" w:color="auto" w:sz="4" w:space="0"/>
              <w:right w:val="single" w:color="auto" w:sz="4" w:space="0"/>
            </w:tcBorders>
            <w:shd w:val="clear" w:color="auto" w:fill="auto"/>
            <w:noWrap/>
            <w:vAlign w:val="center"/>
          </w:tcPr>
          <w:p w14:paraId="6C8682EC">
            <w:pPr>
              <w:widowControl/>
              <w:spacing w:line="240" w:lineRule="auto"/>
              <w:ind w:firstLine="0" w:firstLineChars="0"/>
              <w:jc w:val="center"/>
              <w:rPr>
                <w:rFonts w:ascii="仿宋" w:hAnsi="仿宋" w:eastAsia="仿宋" w:cs="宋体"/>
                <w:kern w:val="0"/>
                <w:szCs w:val="28"/>
              </w:rPr>
            </w:pPr>
            <w:r>
              <w:rPr>
                <w:rFonts w:hint="eastAsia" w:ascii="仿宋" w:hAnsi="仿宋" w:eastAsia="仿宋" w:cs="宋体"/>
                <w:kern w:val="0"/>
                <w:szCs w:val="28"/>
              </w:rPr>
              <w:t>13123.05</w:t>
            </w:r>
          </w:p>
        </w:tc>
        <w:tc>
          <w:tcPr>
            <w:tcW w:w="1234" w:type="dxa"/>
            <w:tcBorders>
              <w:top w:val="nil"/>
              <w:left w:val="nil"/>
              <w:bottom w:val="single" w:color="auto" w:sz="4" w:space="0"/>
              <w:right w:val="single" w:color="auto" w:sz="4" w:space="0"/>
            </w:tcBorders>
            <w:shd w:val="clear" w:color="auto" w:fill="auto"/>
            <w:noWrap/>
            <w:vAlign w:val="center"/>
          </w:tcPr>
          <w:p w14:paraId="4C89985A">
            <w:pPr>
              <w:widowControl/>
              <w:spacing w:line="240" w:lineRule="auto"/>
              <w:ind w:firstLine="0" w:firstLineChars="0"/>
              <w:jc w:val="center"/>
              <w:rPr>
                <w:rFonts w:ascii="仿宋" w:hAnsi="仿宋" w:eastAsia="仿宋" w:cs="宋体"/>
                <w:kern w:val="0"/>
                <w:szCs w:val="28"/>
              </w:rPr>
            </w:pPr>
            <w:r>
              <w:rPr>
                <w:rFonts w:hint="eastAsia" w:ascii="仿宋" w:hAnsi="仿宋" w:eastAsia="仿宋" w:cs="宋体"/>
                <w:kern w:val="0"/>
                <w:szCs w:val="28"/>
              </w:rPr>
              <w:t>62.39%</w:t>
            </w:r>
          </w:p>
        </w:tc>
        <w:tc>
          <w:tcPr>
            <w:tcW w:w="1317" w:type="dxa"/>
            <w:tcBorders>
              <w:top w:val="nil"/>
              <w:left w:val="nil"/>
              <w:bottom w:val="single" w:color="auto" w:sz="4" w:space="0"/>
              <w:right w:val="single" w:color="auto" w:sz="4" w:space="0"/>
            </w:tcBorders>
            <w:shd w:val="clear" w:color="auto" w:fill="auto"/>
            <w:noWrap/>
            <w:vAlign w:val="center"/>
          </w:tcPr>
          <w:p w14:paraId="2602821C">
            <w:pPr>
              <w:widowControl/>
              <w:spacing w:line="240" w:lineRule="auto"/>
              <w:ind w:firstLine="0" w:firstLineChars="0"/>
              <w:jc w:val="center"/>
              <w:rPr>
                <w:rFonts w:ascii="仿宋" w:hAnsi="仿宋" w:eastAsia="仿宋" w:cs="宋体"/>
                <w:kern w:val="0"/>
                <w:szCs w:val="28"/>
              </w:rPr>
            </w:pPr>
            <w:r>
              <w:rPr>
                <w:rFonts w:hint="eastAsia" w:ascii="仿宋" w:hAnsi="仿宋" w:eastAsia="仿宋" w:cs="宋体"/>
                <w:kern w:val="0"/>
                <w:szCs w:val="28"/>
              </w:rPr>
              <w:t>7910.39</w:t>
            </w:r>
          </w:p>
        </w:tc>
        <w:tc>
          <w:tcPr>
            <w:tcW w:w="1234" w:type="dxa"/>
            <w:tcBorders>
              <w:top w:val="nil"/>
              <w:left w:val="nil"/>
              <w:bottom w:val="single" w:color="auto" w:sz="4" w:space="0"/>
              <w:right w:val="single" w:color="auto" w:sz="4" w:space="0"/>
            </w:tcBorders>
            <w:shd w:val="clear" w:color="auto" w:fill="auto"/>
            <w:noWrap/>
            <w:vAlign w:val="center"/>
          </w:tcPr>
          <w:p w14:paraId="723E4FCD">
            <w:pPr>
              <w:widowControl/>
              <w:spacing w:line="240" w:lineRule="auto"/>
              <w:ind w:firstLine="0" w:firstLineChars="0"/>
              <w:jc w:val="center"/>
              <w:rPr>
                <w:rFonts w:ascii="仿宋" w:hAnsi="仿宋" w:eastAsia="仿宋" w:cs="宋体"/>
                <w:kern w:val="0"/>
                <w:szCs w:val="28"/>
              </w:rPr>
            </w:pPr>
            <w:r>
              <w:rPr>
                <w:rFonts w:hint="eastAsia" w:ascii="仿宋" w:hAnsi="仿宋" w:eastAsia="仿宋" w:cs="宋体"/>
                <w:kern w:val="0"/>
                <w:szCs w:val="28"/>
              </w:rPr>
              <w:t>37.61%</w:t>
            </w:r>
          </w:p>
        </w:tc>
      </w:tr>
      <w:tr w14:paraId="7BF3E5E3">
        <w:tblPrEx>
          <w:tblCellMar>
            <w:top w:w="0" w:type="dxa"/>
            <w:left w:w="108" w:type="dxa"/>
            <w:bottom w:w="0" w:type="dxa"/>
            <w:right w:w="108" w:type="dxa"/>
          </w:tblCellMar>
        </w:tblPrEx>
        <w:trPr>
          <w:trHeight w:val="392" w:hRule="atLeast"/>
        </w:trPr>
        <w:tc>
          <w:tcPr>
            <w:tcW w:w="694" w:type="dxa"/>
            <w:tcBorders>
              <w:top w:val="nil"/>
              <w:left w:val="single" w:color="auto" w:sz="4" w:space="0"/>
              <w:bottom w:val="single" w:color="auto" w:sz="4" w:space="0"/>
              <w:right w:val="single" w:color="auto" w:sz="4" w:space="0"/>
            </w:tcBorders>
            <w:shd w:val="clear" w:color="auto" w:fill="auto"/>
            <w:noWrap/>
            <w:vAlign w:val="center"/>
          </w:tcPr>
          <w:p w14:paraId="28708751">
            <w:pPr>
              <w:widowControl/>
              <w:spacing w:line="240" w:lineRule="auto"/>
              <w:ind w:firstLine="0" w:firstLineChars="0"/>
              <w:jc w:val="center"/>
              <w:rPr>
                <w:rFonts w:ascii="仿宋" w:hAnsi="仿宋" w:eastAsia="仿宋" w:cs="宋体"/>
                <w:kern w:val="0"/>
                <w:szCs w:val="28"/>
              </w:rPr>
            </w:pPr>
            <w:r>
              <w:rPr>
                <w:rFonts w:hint="eastAsia" w:ascii="仿宋" w:hAnsi="仿宋" w:eastAsia="仿宋" w:cs="宋体"/>
                <w:kern w:val="0"/>
                <w:szCs w:val="28"/>
              </w:rPr>
              <w:t>18</w:t>
            </w:r>
          </w:p>
        </w:tc>
        <w:tc>
          <w:tcPr>
            <w:tcW w:w="1453" w:type="dxa"/>
            <w:tcBorders>
              <w:top w:val="nil"/>
              <w:left w:val="nil"/>
              <w:bottom w:val="single" w:color="auto" w:sz="4" w:space="0"/>
              <w:right w:val="single" w:color="auto" w:sz="4" w:space="0"/>
            </w:tcBorders>
            <w:shd w:val="clear" w:color="auto" w:fill="auto"/>
            <w:noWrap/>
            <w:vAlign w:val="center"/>
          </w:tcPr>
          <w:p w14:paraId="048955E2">
            <w:pPr>
              <w:widowControl/>
              <w:spacing w:line="240" w:lineRule="auto"/>
              <w:ind w:firstLine="0" w:firstLineChars="0"/>
              <w:jc w:val="center"/>
              <w:rPr>
                <w:rFonts w:ascii="仿宋" w:hAnsi="仿宋" w:eastAsia="仿宋" w:cs="宋体"/>
                <w:kern w:val="0"/>
                <w:szCs w:val="28"/>
              </w:rPr>
            </w:pPr>
            <w:r>
              <w:rPr>
                <w:rFonts w:hint="eastAsia" w:ascii="仿宋" w:hAnsi="仿宋" w:eastAsia="仿宋" w:cs="宋体"/>
                <w:kern w:val="0"/>
                <w:szCs w:val="28"/>
              </w:rPr>
              <w:t>青界山林场</w:t>
            </w:r>
          </w:p>
        </w:tc>
        <w:tc>
          <w:tcPr>
            <w:tcW w:w="1570" w:type="dxa"/>
            <w:tcBorders>
              <w:top w:val="nil"/>
              <w:left w:val="nil"/>
              <w:bottom w:val="single" w:color="auto" w:sz="4" w:space="0"/>
              <w:right w:val="single" w:color="auto" w:sz="4" w:space="0"/>
            </w:tcBorders>
            <w:shd w:val="clear" w:color="auto" w:fill="auto"/>
            <w:noWrap/>
            <w:vAlign w:val="center"/>
          </w:tcPr>
          <w:p w14:paraId="2B106B07">
            <w:pPr>
              <w:widowControl/>
              <w:spacing w:line="240" w:lineRule="auto"/>
              <w:ind w:firstLine="0" w:firstLineChars="0"/>
              <w:jc w:val="center"/>
              <w:rPr>
                <w:rFonts w:ascii="仿宋" w:hAnsi="仿宋" w:eastAsia="仿宋" w:cs="宋体"/>
                <w:kern w:val="0"/>
                <w:szCs w:val="28"/>
              </w:rPr>
            </w:pPr>
            <w:r>
              <w:rPr>
                <w:rFonts w:hint="eastAsia" w:ascii="仿宋" w:hAnsi="仿宋" w:eastAsia="仿宋" w:cs="宋体"/>
                <w:kern w:val="0"/>
                <w:szCs w:val="28"/>
              </w:rPr>
              <w:t>7048.93</w:t>
            </w:r>
          </w:p>
        </w:tc>
        <w:tc>
          <w:tcPr>
            <w:tcW w:w="1456" w:type="dxa"/>
            <w:tcBorders>
              <w:top w:val="nil"/>
              <w:left w:val="nil"/>
              <w:bottom w:val="single" w:color="auto" w:sz="4" w:space="0"/>
              <w:right w:val="single" w:color="auto" w:sz="4" w:space="0"/>
            </w:tcBorders>
            <w:shd w:val="clear" w:color="auto" w:fill="auto"/>
            <w:noWrap/>
            <w:vAlign w:val="center"/>
          </w:tcPr>
          <w:p w14:paraId="4AC35FF9">
            <w:pPr>
              <w:widowControl/>
              <w:spacing w:line="240" w:lineRule="auto"/>
              <w:ind w:firstLine="0" w:firstLineChars="0"/>
              <w:jc w:val="center"/>
              <w:rPr>
                <w:rFonts w:ascii="仿宋" w:hAnsi="仿宋" w:eastAsia="仿宋" w:cs="宋体"/>
                <w:kern w:val="0"/>
                <w:szCs w:val="28"/>
              </w:rPr>
            </w:pPr>
            <w:r>
              <w:rPr>
                <w:rFonts w:hint="eastAsia" w:ascii="仿宋" w:hAnsi="仿宋" w:eastAsia="仿宋" w:cs="宋体"/>
                <w:kern w:val="0"/>
                <w:szCs w:val="28"/>
              </w:rPr>
              <w:t>1802.72</w:t>
            </w:r>
          </w:p>
        </w:tc>
        <w:tc>
          <w:tcPr>
            <w:tcW w:w="1234" w:type="dxa"/>
            <w:tcBorders>
              <w:top w:val="nil"/>
              <w:left w:val="nil"/>
              <w:bottom w:val="single" w:color="auto" w:sz="4" w:space="0"/>
              <w:right w:val="single" w:color="auto" w:sz="4" w:space="0"/>
            </w:tcBorders>
            <w:shd w:val="clear" w:color="auto" w:fill="auto"/>
            <w:noWrap/>
            <w:vAlign w:val="center"/>
          </w:tcPr>
          <w:p w14:paraId="1DC2B58F">
            <w:pPr>
              <w:widowControl/>
              <w:spacing w:line="240" w:lineRule="auto"/>
              <w:ind w:firstLine="0" w:firstLineChars="0"/>
              <w:jc w:val="center"/>
              <w:rPr>
                <w:rFonts w:ascii="仿宋" w:hAnsi="仿宋" w:eastAsia="仿宋" w:cs="宋体"/>
                <w:kern w:val="0"/>
                <w:szCs w:val="28"/>
              </w:rPr>
            </w:pPr>
            <w:r>
              <w:rPr>
                <w:rFonts w:hint="eastAsia" w:ascii="仿宋" w:hAnsi="仿宋" w:eastAsia="仿宋" w:cs="宋体"/>
                <w:kern w:val="0"/>
                <w:szCs w:val="28"/>
              </w:rPr>
              <w:t>25.57%</w:t>
            </w:r>
          </w:p>
        </w:tc>
        <w:tc>
          <w:tcPr>
            <w:tcW w:w="1317" w:type="dxa"/>
            <w:tcBorders>
              <w:top w:val="nil"/>
              <w:left w:val="nil"/>
              <w:bottom w:val="single" w:color="auto" w:sz="4" w:space="0"/>
              <w:right w:val="single" w:color="auto" w:sz="4" w:space="0"/>
            </w:tcBorders>
            <w:shd w:val="clear" w:color="auto" w:fill="auto"/>
            <w:noWrap/>
            <w:vAlign w:val="center"/>
          </w:tcPr>
          <w:p w14:paraId="4C86115E">
            <w:pPr>
              <w:widowControl/>
              <w:spacing w:line="240" w:lineRule="auto"/>
              <w:ind w:firstLine="0" w:firstLineChars="0"/>
              <w:jc w:val="center"/>
              <w:rPr>
                <w:rFonts w:ascii="仿宋" w:hAnsi="仿宋" w:eastAsia="仿宋" w:cs="宋体"/>
                <w:kern w:val="0"/>
                <w:szCs w:val="28"/>
              </w:rPr>
            </w:pPr>
            <w:r>
              <w:rPr>
                <w:rFonts w:hint="eastAsia" w:ascii="仿宋" w:hAnsi="仿宋" w:eastAsia="仿宋" w:cs="宋体"/>
                <w:kern w:val="0"/>
                <w:szCs w:val="28"/>
              </w:rPr>
              <w:t>5246.22</w:t>
            </w:r>
          </w:p>
        </w:tc>
        <w:tc>
          <w:tcPr>
            <w:tcW w:w="1234" w:type="dxa"/>
            <w:tcBorders>
              <w:top w:val="nil"/>
              <w:left w:val="nil"/>
              <w:bottom w:val="single" w:color="auto" w:sz="4" w:space="0"/>
              <w:right w:val="single" w:color="auto" w:sz="4" w:space="0"/>
            </w:tcBorders>
            <w:shd w:val="clear" w:color="auto" w:fill="auto"/>
            <w:noWrap/>
            <w:vAlign w:val="center"/>
          </w:tcPr>
          <w:p w14:paraId="126C440E">
            <w:pPr>
              <w:widowControl/>
              <w:spacing w:line="240" w:lineRule="auto"/>
              <w:ind w:firstLine="0" w:firstLineChars="0"/>
              <w:jc w:val="center"/>
              <w:rPr>
                <w:rFonts w:ascii="仿宋" w:hAnsi="仿宋" w:eastAsia="仿宋" w:cs="宋体"/>
                <w:kern w:val="0"/>
                <w:szCs w:val="28"/>
              </w:rPr>
            </w:pPr>
            <w:r>
              <w:rPr>
                <w:rFonts w:hint="eastAsia" w:ascii="仿宋" w:hAnsi="仿宋" w:eastAsia="仿宋" w:cs="宋体"/>
                <w:kern w:val="0"/>
                <w:szCs w:val="28"/>
              </w:rPr>
              <w:t>74.43%</w:t>
            </w:r>
          </w:p>
        </w:tc>
      </w:tr>
      <w:tr w14:paraId="2A023E37">
        <w:tblPrEx>
          <w:tblCellMar>
            <w:top w:w="0" w:type="dxa"/>
            <w:left w:w="108" w:type="dxa"/>
            <w:bottom w:w="0" w:type="dxa"/>
            <w:right w:w="108" w:type="dxa"/>
          </w:tblCellMar>
        </w:tblPrEx>
        <w:trPr>
          <w:trHeight w:val="392" w:hRule="atLeast"/>
        </w:trPr>
        <w:tc>
          <w:tcPr>
            <w:tcW w:w="694" w:type="dxa"/>
            <w:tcBorders>
              <w:top w:val="nil"/>
              <w:left w:val="single" w:color="auto" w:sz="4" w:space="0"/>
              <w:bottom w:val="single" w:color="auto" w:sz="4" w:space="0"/>
              <w:right w:val="single" w:color="auto" w:sz="4" w:space="0"/>
            </w:tcBorders>
            <w:shd w:val="clear" w:color="auto" w:fill="auto"/>
            <w:noWrap/>
            <w:vAlign w:val="center"/>
          </w:tcPr>
          <w:p w14:paraId="6666688F">
            <w:pPr>
              <w:widowControl/>
              <w:spacing w:line="240" w:lineRule="auto"/>
              <w:ind w:firstLine="0" w:firstLineChars="0"/>
              <w:jc w:val="center"/>
              <w:rPr>
                <w:rFonts w:ascii="仿宋" w:hAnsi="仿宋" w:eastAsia="仿宋" w:cs="宋体"/>
                <w:kern w:val="0"/>
                <w:szCs w:val="28"/>
              </w:rPr>
            </w:pPr>
            <w:r>
              <w:rPr>
                <w:rFonts w:hint="eastAsia" w:ascii="仿宋" w:hAnsi="仿宋" w:eastAsia="仿宋" w:cs="宋体"/>
                <w:kern w:val="0"/>
                <w:szCs w:val="28"/>
              </w:rPr>
              <w:t>19</w:t>
            </w:r>
          </w:p>
        </w:tc>
        <w:tc>
          <w:tcPr>
            <w:tcW w:w="1453" w:type="dxa"/>
            <w:tcBorders>
              <w:top w:val="nil"/>
              <w:left w:val="nil"/>
              <w:bottom w:val="single" w:color="auto" w:sz="4" w:space="0"/>
              <w:right w:val="single" w:color="auto" w:sz="4" w:space="0"/>
            </w:tcBorders>
            <w:shd w:val="clear" w:color="auto" w:fill="auto"/>
            <w:noWrap/>
            <w:vAlign w:val="center"/>
          </w:tcPr>
          <w:p w14:paraId="14960F21">
            <w:pPr>
              <w:widowControl/>
              <w:spacing w:line="240" w:lineRule="auto"/>
              <w:ind w:firstLine="0" w:firstLineChars="0"/>
              <w:jc w:val="center"/>
              <w:rPr>
                <w:rFonts w:ascii="仿宋" w:hAnsi="仿宋" w:eastAsia="仿宋" w:cs="宋体"/>
                <w:kern w:val="0"/>
                <w:szCs w:val="28"/>
              </w:rPr>
            </w:pPr>
            <w:r>
              <w:rPr>
                <w:rFonts w:hint="eastAsia" w:ascii="仿宋" w:hAnsi="仿宋" w:eastAsia="仿宋" w:cs="宋体"/>
                <w:kern w:val="0"/>
                <w:szCs w:val="28"/>
              </w:rPr>
              <w:t>燕子山林场</w:t>
            </w:r>
          </w:p>
        </w:tc>
        <w:tc>
          <w:tcPr>
            <w:tcW w:w="1570" w:type="dxa"/>
            <w:tcBorders>
              <w:top w:val="nil"/>
              <w:left w:val="nil"/>
              <w:bottom w:val="single" w:color="auto" w:sz="4" w:space="0"/>
              <w:right w:val="single" w:color="auto" w:sz="4" w:space="0"/>
            </w:tcBorders>
            <w:shd w:val="clear" w:color="auto" w:fill="auto"/>
            <w:noWrap/>
            <w:vAlign w:val="center"/>
          </w:tcPr>
          <w:p w14:paraId="3FFA9FA6">
            <w:pPr>
              <w:widowControl/>
              <w:spacing w:line="240" w:lineRule="auto"/>
              <w:ind w:firstLine="0" w:firstLineChars="0"/>
              <w:jc w:val="center"/>
              <w:rPr>
                <w:rFonts w:ascii="仿宋" w:hAnsi="仿宋" w:eastAsia="仿宋" w:cs="宋体"/>
                <w:kern w:val="0"/>
                <w:szCs w:val="28"/>
              </w:rPr>
            </w:pPr>
            <w:r>
              <w:rPr>
                <w:rFonts w:hint="eastAsia" w:ascii="仿宋" w:hAnsi="仿宋" w:eastAsia="仿宋" w:cs="宋体"/>
                <w:kern w:val="0"/>
                <w:szCs w:val="28"/>
              </w:rPr>
              <w:t>3449.98</w:t>
            </w:r>
          </w:p>
        </w:tc>
        <w:tc>
          <w:tcPr>
            <w:tcW w:w="1456" w:type="dxa"/>
            <w:tcBorders>
              <w:top w:val="nil"/>
              <w:left w:val="nil"/>
              <w:bottom w:val="single" w:color="auto" w:sz="4" w:space="0"/>
              <w:right w:val="single" w:color="auto" w:sz="4" w:space="0"/>
            </w:tcBorders>
            <w:shd w:val="clear" w:color="auto" w:fill="auto"/>
            <w:noWrap/>
            <w:vAlign w:val="center"/>
          </w:tcPr>
          <w:p w14:paraId="7EB83AC4">
            <w:pPr>
              <w:widowControl/>
              <w:spacing w:line="240" w:lineRule="auto"/>
              <w:ind w:firstLine="0" w:firstLineChars="0"/>
              <w:jc w:val="center"/>
              <w:rPr>
                <w:rFonts w:ascii="仿宋" w:hAnsi="仿宋" w:eastAsia="仿宋" w:cs="宋体"/>
                <w:kern w:val="0"/>
                <w:szCs w:val="28"/>
              </w:rPr>
            </w:pPr>
            <w:r>
              <w:rPr>
                <w:rFonts w:hint="eastAsia" w:ascii="仿宋" w:hAnsi="仿宋" w:eastAsia="仿宋" w:cs="宋体"/>
                <w:kern w:val="0"/>
                <w:szCs w:val="28"/>
              </w:rPr>
              <w:t>530.57</w:t>
            </w:r>
          </w:p>
        </w:tc>
        <w:tc>
          <w:tcPr>
            <w:tcW w:w="1234" w:type="dxa"/>
            <w:tcBorders>
              <w:top w:val="nil"/>
              <w:left w:val="nil"/>
              <w:bottom w:val="single" w:color="auto" w:sz="4" w:space="0"/>
              <w:right w:val="single" w:color="auto" w:sz="4" w:space="0"/>
            </w:tcBorders>
            <w:shd w:val="clear" w:color="auto" w:fill="auto"/>
            <w:noWrap/>
            <w:vAlign w:val="center"/>
          </w:tcPr>
          <w:p w14:paraId="6B2BAB6D">
            <w:pPr>
              <w:widowControl/>
              <w:spacing w:line="240" w:lineRule="auto"/>
              <w:ind w:firstLine="0" w:firstLineChars="0"/>
              <w:jc w:val="center"/>
              <w:rPr>
                <w:rFonts w:ascii="仿宋" w:hAnsi="仿宋" w:eastAsia="仿宋" w:cs="宋体"/>
                <w:kern w:val="0"/>
                <w:szCs w:val="28"/>
              </w:rPr>
            </w:pPr>
            <w:r>
              <w:rPr>
                <w:rFonts w:hint="eastAsia" w:ascii="仿宋" w:hAnsi="仿宋" w:eastAsia="仿宋" w:cs="宋体"/>
                <w:kern w:val="0"/>
                <w:szCs w:val="28"/>
              </w:rPr>
              <w:t>15.38%</w:t>
            </w:r>
          </w:p>
        </w:tc>
        <w:tc>
          <w:tcPr>
            <w:tcW w:w="1317" w:type="dxa"/>
            <w:tcBorders>
              <w:top w:val="nil"/>
              <w:left w:val="nil"/>
              <w:bottom w:val="single" w:color="auto" w:sz="4" w:space="0"/>
              <w:right w:val="single" w:color="auto" w:sz="4" w:space="0"/>
            </w:tcBorders>
            <w:shd w:val="clear" w:color="auto" w:fill="auto"/>
            <w:noWrap/>
            <w:vAlign w:val="center"/>
          </w:tcPr>
          <w:p w14:paraId="06593F46">
            <w:pPr>
              <w:widowControl/>
              <w:spacing w:line="240" w:lineRule="auto"/>
              <w:ind w:firstLine="0" w:firstLineChars="0"/>
              <w:jc w:val="center"/>
              <w:rPr>
                <w:rFonts w:ascii="仿宋" w:hAnsi="仿宋" w:eastAsia="仿宋" w:cs="宋体"/>
                <w:kern w:val="0"/>
                <w:szCs w:val="28"/>
              </w:rPr>
            </w:pPr>
            <w:r>
              <w:rPr>
                <w:rFonts w:hint="eastAsia" w:ascii="仿宋" w:hAnsi="仿宋" w:eastAsia="仿宋" w:cs="宋体"/>
                <w:kern w:val="0"/>
                <w:szCs w:val="28"/>
              </w:rPr>
              <w:t>2919.41</w:t>
            </w:r>
          </w:p>
        </w:tc>
        <w:tc>
          <w:tcPr>
            <w:tcW w:w="1234" w:type="dxa"/>
            <w:tcBorders>
              <w:top w:val="nil"/>
              <w:left w:val="nil"/>
              <w:bottom w:val="single" w:color="auto" w:sz="4" w:space="0"/>
              <w:right w:val="single" w:color="auto" w:sz="4" w:space="0"/>
            </w:tcBorders>
            <w:shd w:val="clear" w:color="auto" w:fill="auto"/>
            <w:noWrap/>
            <w:vAlign w:val="center"/>
          </w:tcPr>
          <w:p w14:paraId="2C3DF661">
            <w:pPr>
              <w:widowControl/>
              <w:spacing w:line="240" w:lineRule="auto"/>
              <w:ind w:firstLine="0" w:firstLineChars="0"/>
              <w:jc w:val="center"/>
              <w:rPr>
                <w:rFonts w:ascii="仿宋" w:hAnsi="仿宋" w:eastAsia="仿宋" w:cs="宋体"/>
                <w:kern w:val="0"/>
                <w:szCs w:val="28"/>
              </w:rPr>
            </w:pPr>
            <w:r>
              <w:rPr>
                <w:rFonts w:hint="eastAsia" w:ascii="仿宋" w:hAnsi="仿宋" w:eastAsia="仿宋" w:cs="宋体"/>
                <w:kern w:val="0"/>
                <w:szCs w:val="28"/>
              </w:rPr>
              <w:t>84.62%</w:t>
            </w:r>
          </w:p>
        </w:tc>
      </w:tr>
      <w:tr w14:paraId="4BB2AD93">
        <w:tblPrEx>
          <w:tblCellMar>
            <w:top w:w="0" w:type="dxa"/>
            <w:left w:w="108" w:type="dxa"/>
            <w:bottom w:w="0" w:type="dxa"/>
            <w:right w:w="108" w:type="dxa"/>
          </w:tblCellMar>
        </w:tblPrEx>
        <w:trPr>
          <w:trHeight w:val="392" w:hRule="atLeast"/>
        </w:trPr>
        <w:tc>
          <w:tcPr>
            <w:tcW w:w="694" w:type="dxa"/>
            <w:tcBorders>
              <w:top w:val="nil"/>
              <w:left w:val="single" w:color="auto" w:sz="4" w:space="0"/>
              <w:bottom w:val="single" w:color="auto" w:sz="4" w:space="0"/>
              <w:right w:val="single" w:color="auto" w:sz="4" w:space="0"/>
            </w:tcBorders>
            <w:shd w:val="clear" w:color="auto" w:fill="auto"/>
            <w:noWrap/>
            <w:vAlign w:val="center"/>
          </w:tcPr>
          <w:p w14:paraId="559A7887">
            <w:pPr>
              <w:widowControl/>
              <w:spacing w:line="240" w:lineRule="auto"/>
              <w:ind w:firstLine="0" w:firstLineChars="0"/>
              <w:jc w:val="center"/>
              <w:rPr>
                <w:rFonts w:ascii="仿宋" w:hAnsi="仿宋" w:eastAsia="仿宋" w:cs="宋体"/>
                <w:kern w:val="0"/>
                <w:szCs w:val="28"/>
              </w:rPr>
            </w:pPr>
            <w:r>
              <w:rPr>
                <w:rFonts w:hint="eastAsia" w:ascii="仿宋" w:hAnsi="仿宋" w:eastAsia="仿宋" w:cs="宋体"/>
                <w:kern w:val="0"/>
                <w:szCs w:val="28"/>
              </w:rPr>
              <w:t>20</w:t>
            </w:r>
          </w:p>
        </w:tc>
        <w:tc>
          <w:tcPr>
            <w:tcW w:w="1453" w:type="dxa"/>
            <w:tcBorders>
              <w:top w:val="nil"/>
              <w:left w:val="nil"/>
              <w:bottom w:val="single" w:color="auto" w:sz="4" w:space="0"/>
              <w:right w:val="single" w:color="auto" w:sz="4" w:space="0"/>
            </w:tcBorders>
            <w:shd w:val="clear" w:color="auto" w:fill="auto"/>
            <w:noWrap/>
            <w:vAlign w:val="center"/>
          </w:tcPr>
          <w:p w14:paraId="42865457">
            <w:pPr>
              <w:widowControl/>
              <w:spacing w:line="240" w:lineRule="auto"/>
              <w:ind w:firstLine="0" w:firstLineChars="0"/>
              <w:jc w:val="center"/>
              <w:rPr>
                <w:rFonts w:ascii="仿宋" w:hAnsi="仿宋" w:eastAsia="仿宋" w:cs="宋体"/>
                <w:kern w:val="0"/>
                <w:szCs w:val="28"/>
              </w:rPr>
            </w:pPr>
            <w:r>
              <w:rPr>
                <w:rFonts w:hint="eastAsia" w:ascii="仿宋" w:hAnsi="仿宋" w:eastAsia="仿宋" w:cs="宋体"/>
                <w:kern w:val="0"/>
                <w:szCs w:val="28"/>
              </w:rPr>
              <w:t>金紫山林场</w:t>
            </w:r>
          </w:p>
        </w:tc>
        <w:tc>
          <w:tcPr>
            <w:tcW w:w="1570" w:type="dxa"/>
            <w:tcBorders>
              <w:top w:val="nil"/>
              <w:left w:val="nil"/>
              <w:bottom w:val="single" w:color="auto" w:sz="4" w:space="0"/>
              <w:right w:val="single" w:color="auto" w:sz="4" w:space="0"/>
            </w:tcBorders>
            <w:shd w:val="clear" w:color="auto" w:fill="auto"/>
            <w:noWrap/>
            <w:vAlign w:val="center"/>
          </w:tcPr>
          <w:p w14:paraId="1546AA4B">
            <w:pPr>
              <w:widowControl/>
              <w:spacing w:line="240" w:lineRule="auto"/>
              <w:ind w:firstLine="0" w:firstLineChars="0"/>
              <w:jc w:val="center"/>
              <w:rPr>
                <w:rFonts w:ascii="仿宋" w:hAnsi="仿宋" w:eastAsia="仿宋" w:cs="宋体"/>
                <w:kern w:val="0"/>
                <w:szCs w:val="28"/>
              </w:rPr>
            </w:pPr>
            <w:r>
              <w:rPr>
                <w:rFonts w:hint="eastAsia" w:ascii="仿宋" w:hAnsi="仿宋" w:eastAsia="仿宋" w:cs="宋体"/>
                <w:kern w:val="0"/>
                <w:szCs w:val="28"/>
              </w:rPr>
              <w:t>7703.49</w:t>
            </w:r>
          </w:p>
        </w:tc>
        <w:tc>
          <w:tcPr>
            <w:tcW w:w="1456" w:type="dxa"/>
            <w:tcBorders>
              <w:top w:val="nil"/>
              <w:left w:val="nil"/>
              <w:bottom w:val="single" w:color="auto" w:sz="4" w:space="0"/>
              <w:right w:val="single" w:color="auto" w:sz="4" w:space="0"/>
            </w:tcBorders>
            <w:shd w:val="clear" w:color="auto" w:fill="auto"/>
            <w:noWrap/>
            <w:vAlign w:val="center"/>
          </w:tcPr>
          <w:p w14:paraId="44BB93D3">
            <w:pPr>
              <w:widowControl/>
              <w:spacing w:line="240" w:lineRule="auto"/>
              <w:ind w:firstLine="0" w:firstLineChars="0"/>
              <w:jc w:val="center"/>
              <w:rPr>
                <w:rFonts w:ascii="仿宋" w:hAnsi="仿宋" w:eastAsia="仿宋" w:cs="宋体"/>
                <w:kern w:val="0"/>
                <w:szCs w:val="28"/>
              </w:rPr>
            </w:pPr>
            <w:r>
              <w:rPr>
                <w:rFonts w:hint="eastAsia" w:ascii="仿宋" w:hAnsi="仿宋" w:eastAsia="仿宋" w:cs="宋体"/>
                <w:kern w:val="0"/>
                <w:szCs w:val="28"/>
              </w:rPr>
              <w:t>7181.00</w:t>
            </w:r>
          </w:p>
        </w:tc>
        <w:tc>
          <w:tcPr>
            <w:tcW w:w="1234" w:type="dxa"/>
            <w:tcBorders>
              <w:top w:val="nil"/>
              <w:left w:val="nil"/>
              <w:bottom w:val="single" w:color="auto" w:sz="4" w:space="0"/>
              <w:right w:val="single" w:color="auto" w:sz="4" w:space="0"/>
            </w:tcBorders>
            <w:shd w:val="clear" w:color="auto" w:fill="auto"/>
            <w:noWrap/>
            <w:vAlign w:val="center"/>
          </w:tcPr>
          <w:p w14:paraId="3B244850">
            <w:pPr>
              <w:widowControl/>
              <w:spacing w:line="240" w:lineRule="auto"/>
              <w:ind w:firstLine="0" w:firstLineChars="0"/>
              <w:jc w:val="center"/>
              <w:rPr>
                <w:rFonts w:ascii="仿宋" w:hAnsi="仿宋" w:eastAsia="仿宋" w:cs="宋体"/>
                <w:kern w:val="0"/>
                <w:szCs w:val="28"/>
              </w:rPr>
            </w:pPr>
            <w:r>
              <w:rPr>
                <w:rFonts w:hint="eastAsia" w:ascii="仿宋" w:hAnsi="仿宋" w:eastAsia="仿宋" w:cs="宋体"/>
                <w:kern w:val="0"/>
                <w:szCs w:val="28"/>
              </w:rPr>
              <w:t>93.22%</w:t>
            </w:r>
          </w:p>
        </w:tc>
        <w:tc>
          <w:tcPr>
            <w:tcW w:w="1317" w:type="dxa"/>
            <w:tcBorders>
              <w:top w:val="nil"/>
              <w:left w:val="nil"/>
              <w:bottom w:val="single" w:color="auto" w:sz="4" w:space="0"/>
              <w:right w:val="single" w:color="auto" w:sz="4" w:space="0"/>
            </w:tcBorders>
            <w:shd w:val="clear" w:color="auto" w:fill="auto"/>
            <w:noWrap/>
            <w:vAlign w:val="center"/>
          </w:tcPr>
          <w:p w14:paraId="6C04B2BD">
            <w:pPr>
              <w:widowControl/>
              <w:spacing w:line="240" w:lineRule="auto"/>
              <w:ind w:firstLine="0" w:firstLineChars="0"/>
              <w:jc w:val="center"/>
              <w:rPr>
                <w:rFonts w:ascii="仿宋" w:hAnsi="仿宋" w:eastAsia="仿宋" w:cs="宋体"/>
                <w:kern w:val="0"/>
                <w:szCs w:val="28"/>
              </w:rPr>
            </w:pPr>
            <w:r>
              <w:rPr>
                <w:rFonts w:hint="eastAsia" w:ascii="仿宋" w:hAnsi="仿宋" w:eastAsia="仿宋" w:cs="宋体"/>
                <w:kern w:val="0"/>
                <w:szCs w:val="28"/>
              </w:rPr>
              <w:t>522.49</w:t>
            </w:r>
          </w:p>
        </w:tc>
        <w:tc>
          <w:tcPr>
            <w:tcW w:w="1234" w:type="dxa"/>
            <w:tcBorders>
              <w:top w:val="nil"/>
              <w:left w:val="nil"/>
              <w:bottom w:val="single" w:color="auto" w:sz="4" w:space="0"/>
              <w:right w:val="single" w:color="auto" w:sz="4" w:space="0"/>
            </w:tcBorders>
            <w:shd w:val="clear" w:color="auto" w:fill="auto"/>
            <w:noWrap/>
            <w:vAlign w:val="center"/>
          </w:tcPr>
          <w:p w14:paraId="49DC40E9">
            <w:pPr>
              <w:widowControl/>
              <w:spacing w:line="240" w:lineRule="auto"/>
              <w:ind w:firstLine="0" w:firstLineChars="0"/>
              <w:jc w:val="center"/>
              <w:rPr>
                <w:rFonts w:ascii="仿宋" w:hAnsi="仿宋" w:eastAsia="仿宋" w:cs="宋体"/>
                <w:kern w:val="0"/>
                <w:szCs w:val="28"/>
              </w:rPr>
            </w:pPr>
            <w:r>
              <w:rPr>
                <w:rFonts w:hint="eastAsia" w:ascii="仿宋" w:hAnsi="仿宋" w:eastAsia="仿宋" w:cs="宋体"/>
                <w:kern w:val="0"/>
                <w:szCs w:val="28"/>
              </w:rPr>
              <w:t>6.78%</w:t>
            </w:r>
          </w:p>
        </w:tc>
      </w:tr>
      <w:tr w14:paraId="368414A5">
        <w:tblPrEx>
          <w:tblCellMar>
            <w:top w:w="0" w:type="dxa"/>
            <w:left w:w="108" w:type="dxa"/>
            <w:bottom w:w="0" w:type="dxa"/>
            <w:right w:w="108" w:type="dxa"/>
          </w:tblCellMar>
        </w:tblPrEx>
        <w:trPr>
          <w:trHeight w:val="310" w:hRule="atLeast"/>
        </w:trPr>
        <w:tc>
          <w:tcPr>
            <w:tcW w:w="2147" w:type="dxa"/>
            <w:gridSpan w:val="2"/>
            <w:tcBorders>
              <w:top w:val="single" w:color="auto" w:sz="4" w:space="0"/>
              <w:left w:val="single" w:color="auto" w:sz="4" w:space="0"/>
              <w:bottom w:val="single" w:color="auto" w:sz="4" w:space="0"/>
              <w:right w:val="single" w:color="auto" w:sz="4" w:space="0"/>
            </w:tcBorders>
            <w:shd w:val="clear" w:color="auto" w:fill="auto"/>
            <w:noWrap/>
            <w:vAlign w:val="center"/>
          </w:tcPr>
          <w:p w14:paraId="42F11FF2">
            <w:pPr>
              <w:widowControl/>
              <w:spacing w:line="240" w:lineRule="auto"/>
              <w:ind w:firstLine="0" w:firstLineChars="0"/>
              <w:jc w:val="center"/>
              <w:rPr>
                <w:rFonts w:ascii="仿宋" w:hAnsi="仿宋" w:eastAsia="仿宋" w:cs="宋体"/>
                <w:kern w:val="0"/>
                <w:szCs w:val="28"/>
              </w:rPr>
            </w:pPr>
            <w:r>
              <w:rPr>
                <w:rFonts w:hint="eastAsia" w:ascii="仿宋" w:hAnsi="仿宋" w:eastAsia="仿宋" w:cs="宋体"/>
                <w:kern w:val="0"/>
                <w:szCs w:val="28"/>
              </w:rPr>
              <w:t>总计</w:t>
            </w:r>
          </w:p>
        </w:tc>
        <w:tc>
          <w:tcPr>
            <w:tcW w:w="1570" w:type="dxa"/>
            <w:tcBorders>
              <w:top w:val="nil"/>
              <w:left w:val="nil"/>
              <w:bottom w:val="single" w:color="auto" w:sz="4" w:space="0"/>
              <w:right w:val="single" w:color="auto" w:sz="4" w:space="0"/>
            </w:tcBorders>
            <w:shd w:val="clear" w:color="auto" w:fill="auto"/>
            <w:noWrap/>
            <w:vAlign w:val="center"/>
          </w:tcPr>
          <w:p w14:paraId="0D975847">
            <w:pPr>
              <w:widowControl/>
              <w:spacing w:line="240" w:lineRule="auto"/>
              <w:ind w:firstLine="0" w:firstLineChars="0"/>
              <w:jc w:val="center"/>
              <w:rPr>
                <w:rFonts w:ascii="仿宋" w:hAnsi="仿宋" w:eastAsia="仿宋" w:cs="宋体"/>
                <w:kern w:val="0"/>
                <w:szCs w:val="28"/>
              </w:rPr>
            </w:pPr>
            <w:r>
              <w:rPr>
                <w:rFonts w:hint="eastAsia" w:ascii="仿宋" w:hAnsi="仿宋" w:eastAsia="仿宋" w:cs="宋体"/>
                <w:kern w:val="0"/>
                <w:szCs w:val="28"/>
              </w:rPr>
              <w:t>258829.66</w:t>
            </w:r>
          </w:p>
        </w:tc>
        <w:tc>
          <w:tcPr>
            <w:tcW w:w="1456" w:type="dxa"/>
            <w:tcBorders>
              <w:top w:val="nil"/>
              <w:left w:val="nil"/>
              <w:bottom w:val="single" w:color="auto" w:sz="4" w:space="0"/>
              <w:right w:val="single" w:color="auto" w:sz="4" w:space="0"/>
            </w:tcBorders>
            <w:shd w:val="clear" w:color="auto" w:fill="auto"/>
            <w:noWrap/>
            <w:vAlign w:val="center"/>
          </w:tcPr>
          <w:p w14:paraId="78D2CAC8">
            <w:pPr>
              <w:widowControl/>
              <w:spacing w:line="240" w:lineRule="auto"/>
              <w:ind w:firstLine="0" w:firstLineChars="0"/>
              <w:jc w:val="center"/>
              <w:rPr>
                <w:rFonts w:ascii="仿宋" w:hAnsi="仿宋" w:eastAsia="仿宋" w:cs="宋体"/>
                <w:kern w:val="0"/>
                <w:szCs w:val="28"/>
              </w:rPr>
            </w:pPr>
            <w:r>
              <w:rPr>
                <w:rFonts w:hint="eastAsia" w:ascii="仿宋" w:hAnsi="仿宋" w:eastAsia="仿宋" w:cs="宋体"/>
                <w:kern w:val="0"/>
                <w:szCs w:val="28"/>
              </w:rPr>
              <w:t>161754.17</w:t>
            </w:r>
          </w:p>
        </w:tc>
        <w:tc>
          <w:tcPr>
            <w:tcW w:w="1234" w:type="dxa"/>
            <w:tcBorders>
              <w:top w:val="nil"/>
              <w:left w:val="nil"/>
              <w:bottom w:val="single" w:color="auto" w:sz="4" w:space="0"/>
              <w:right w:val="single" w:color="auto" w:sz="4" w:space="0"/>
            </w:tcBorders>
            <w:shd w:val="clear" w:color="auto" w:fill="auto"/>
            <w:noWrap/>
            <w:vAlign w:val="center"/>
          </w:tcPr>
          <w:p w14:paraId="1AA00FA4">
            <w:pPr>
              <w:widowControl/>
              <w:spacing w:line="240" w:lineRule="auto"/>
              <w:ind w:firstLine="0" w:firstLineChars="0"/>
              <w:jc w:val="center"/>
              <w:rPr>
                <w:rFonts w:ascii="仿宋" w:hAnsi="仿宋" w:eastAsia="仿宋" w:cs="宋体"/>
                <w:kern w:val="0"/>
                <w:szCs w:val="28"/>
              </w:rPr>
            </w:pPr>
            <w:r>
              <w:rPr>
                <w:rFonts w:hint="eastAsia" w:ascii="仿宋" w:hAnsi="仿宋" w:eastAsia="仿宋" w:cs="宋体"/>
                <w:kern w:val="0"/>
                <w:szCs w:val="28"/>
              </w:rPr>
              <w:t>62.49%</w:t>
            </w:r>
          </w:p>
        </w:tc>
        <w:tc>
          <w:tcPr>
            <w:tcW w:w="1317" w:type="dxa"/>
            <w:tcBorders>
              <w:top w:val="nil"/>
              <w:left w:val="nil"/>
              <w:bottom w:val="single" w:color="auto" w:sz="4" w:space="0"/>
              <w:right w:val="single" w:color="auto" w:sz="4" w:space="0"/>
            </w:tcBorders>
            <w:shd w:val="clear" w:color="auto" w:fill="auto"/>
            <w:noWrap/>
            <w:vAlign w:val="center"/>
          </w:tcPr>
          <w:p w14:paraId="034F3E90">
            <w:pPr>
              <w:widowControl/>
              <w:spacing w:line="240" w:lineRule="auto"/>
              <w:ind w:firstLine="0" w:firstLineChars="0"/>
              <w:jc w:val="center"/>
              <w:rPr>
                <w:rFonts w:ascii="仿宋" w:hAnsi="仿宋" w:eastAsia="仿宋" w:cs="宋体"/>
                <w:kern w:val="0"/>
                <w:szCs w:val="28"/>
              </w:rPr>
            </w:pPr>
            <w:r>
              <w:rPr>
                <w:rFonts w:hint="eastAsia" w:ascii="仿宋" w:hAnsi="仿宋" w:eastAsia="仿宋" w:cs="宋体"/>
                <w:kern w:val="0"/>
                <w:szCs w:val="28"/>
              </w:rPr>
              <w:t>97075.49</w:t>
            </w:r>
          </w:p>
        </w:tc>
        <w:tc>
          <w:tcPr>
            <w:tcW w:w="1234" w:type="dxa"/>
            <w:tcBorders>
              <w:top w:val="nil"/>
              <w:left w:val="nil"/>
              <w:bottom w:val="single" w:color="auto" w:sz="4" w:space="0"/>
              <w:right w:val="single" w:color="auto" w:sz="4" w:space="0"/>
            </w:tcBorders>
            <w:shd w:val="clear" w:color="auto" w:fill="auto"/>
            <w:noWrap/>
            <w:vAlign w:val="center"/>
          </w:tcPr>
          <w:p w14:paraId="657085F4">
            <w:pPr>
              <w:widowControl/>
              <w:spacing w:line="240" w:lineRule="auto"/>
              <w:ind w:firstLine="0" w:firstLineChars="0"/>
              <w:jc w:val="center"/>
              <w:rPr>
                <w:rFonts w:ascii="仿宋" w:hAnsi="仿宋" w:eastAsia="仿宋" w:cs="宋体"/>
                <w:kern w:val="0"/>
                <w:szCs w:val="28"/>
              </w:rPr>
            </w:pPr>
            <w:r>
              <w:rPr>
                <w:rFonts w:hint="eastAsia" w:ascii="仿宋" w:hAnsi="仿宋" w:eastAsia="仿宋" w:cs="宋体"/>
                <w:kern w:val="0"/>
                <w:szCs w:val="28"/>
              </w:rPr>
              <w:t>37.51%</w:t>
            </w:r>
          </w:p>
        </w:tc>
      </w:tr>
    </w:tbl>
    <w:p w14:paraId="2B71C9D0">
      <w:pPr>
        <w:pStyle w:val="2"/>
        <w:numPr>
          <w:ilvl w:val="0"/>
          <w:numId w:val="0"/>
        </w:numPr>
        <w:spacing w:before="240" w:after="240" w:line="360" w:lineRule="auto"/>
        <w:rPr>
          <w:rFonts w:ascii="仿宋" w:hAnsi="仿宋" w:eastAsia="仿宋" w:cs="仿宋"/>
          <w:color w:val="000000" w:themeColor="text1"/>
          <w:sz w:val="44"/>
          <w14:textFill>
            <w14:solidFill>
              <w14:schemeClr w14:val="tx1"/>
            </w14:solidFill>
          </w14:textFill>
        </w:rPr>
      </w:pPr>
      <w:bookmarkStart w:id="34" w:name="_Toc174515768"/>
      <w:r>
        <w:rPr>
          <w:rFonts w:hint="eastAsia" w:ascii="仿宋" w:hAnsi="仿宋" w:eastAsia="仿宋" w:cs="仿宋"/>
          <w:color w:val="000000" w:themeColor="text1"/>
          <w:sz w:val="44"/>
          <w14:textFill>
            <w14:solidFill>
              <w14:schemeClr w14:val="tx1"/>
            </w14:solidFill>
          </w14:textFill>
        </w:rPr>
        <w:t>第5章管控要求及管理办法</w:t>
      </w:r>
      <w:bookmarkEnd w:id="34"/>
    </w:p>
    <w:p w14:paraId="5773FAF6">
      <w:pPr>
        <w:pStyle w:val="3"/>
        <w:numPr>
          <w:ilvl w:val="1"/>
          <w:numId w:val="0"/>
        </w:numPr>
        <w:ind w:firstLine="643" w:firstLineChars="200"/>
        <w:rPr>
          <w:rFonts w:ascii="楷体" w:hAnsi="楷体" w:eastAsia="楷体" w:cs="楷体"/>
          <w:color w:val="000000" w:themeColor="text1"/>
          <w:sz w:val="32"/>
          <w14:textFill>
            <w14:solidFill>
              <w14:schemeClr w14:val="tx1"/>
            </w14:solidFill>
          </w14:textFill>
        </w:rPr>
      </w:pPr>
      <w:bookmarkStart w:id="35" w:name="_Toc174515769"/>
      <w:r>
        <w:rPr>
          <w:rFonts w:hint="eastAsia" w:ascii="楷体" w:hAnsi="楷体" w:eastAsia="楷体" w:cs="楷体"/>
          <w:color w:val="000000" w:themeColor="text1"/>
          <w:sz w:val="32"/>
          <w14:textFill>
            <w14:solidFill>
              <w14:schemeClr w14:val="tx1"/>
            </w14:solidFill>
          </w14:textFill>
        </w:rPr>
        <w:t>5.1管控要求</w:t>
      </w:r>
      <w:bookmarkEnd w:id="31"/>
      <w:bookmarkEnd w:id="32"/>
      <w:bookmarkEnd w:id="35"/>
    </w:p>
    <w:p w14:paraId="7B73E946">
      <w:pPr>
        <w:ind w:firstLine="643"/>
        <w:rPr>
          <w:rFonts w:ascii="仿宋" w:hAnsi="仿宋" w:eastAsia="仿宋" w:cs="仿宋"/>
          <w:b/>
          <w:bCs/>
          <w:color w:val="000000" w:themeColor="text1"/>
          <w:sz w:val="32"/>
          <w:szCs w:val="32"/>
          <w14:textFill>
            <w14:solidFill>
              <w14:schemeClr w14:val="tx1"/>
            </w14:solidFill>
          </w14:textFill>
        </w:rPr>
      </w:pPr>
      <w:r>
        <w:rPr>
          <w:rFonts w:hint="eastAsia" w:ascii="仿宋" w:hAnsi="仿宋" w:eastAsia="仿宋" w:cs="仿宋"/>
          <w:b/>
          <w:bCs/>
          <w:color w:val="000000" w:themeColor="text1"/>
          <w:sz w:val="32"/>
          <w:szCs w:val="32"/>
          <w14:textFill>
            <w14:solidFill>
              <w14:schemeClr w14:val="tx1"/>
            </w14:solidFill>
          </w14:textFill>
        </w:rPr>
        <w:t>5.1.1禁烧区管控要求</w:t>
      </w:r>
    </w:p>
    <w:p w14:paraId="4C10A023">
      <w:pPr>
        <w:ind w:firstLine="640"/>
        <w:rPr>
          <w:rFonts w:ascii="仿宋" w:hAnsi="仿宋" w:eastAsia="仿宋" w:cs="仿宋"/>
          <w:color w:val="000000" w:themeColor="text1"/>
          <w:sz w:val="32"/>
          <w:szCs w:val="32"/>
          <w14:textFill>
            <w14:solidFill>
              <w14:schemeClr w14:val="tx1"/>
            </w14:solidFill>
          </w14:textFill>
        </w:rPr>
      </w:pPr>
      <w:r>
        <w:rPr>
          <w:rFonts w:hint="eastAsia" w:ascii="仿宋" w:hAnsi="仿宋" w:eastAsia="仿宋" w:cs="仿宋"/>
          <w:color w:val="000000" w:themeColor="text1"/>
          <w:sz w:val="32"/>
          <w:szCs w:val="32"/>
          <w14:textFill>
            <w14:solidFill>
              <w14:schemeClr w14:val="tx1"/>
            </w14:solidFill>
          </w14:textFill>
        </w:rPr>
        <w:t>及时向社会公布辖区内划定的秸秆禁烧区。对秸秆禁烧区实行强制性禁烧政策和管理措施，在任何时间、任何气象条件及空气质量状况下，严禁秸秆露天焚烧行为。</w:t>
      </w:r>
      <w:bookmarkStart w:id="36" w:name="_Toc21320"/>
      <w:bookmarkStart w:id="37" w:name="_Toc6105"/>
    </w:p>
    <w:p w14:paraId="70B6D855">
      <w:pPr>
        <w:ind w:firstLine="643"/>
        <w:rPr>
          <w:rFonts w:ascii="仿宋" w:hAnsi="仿宋" w:eastAsia="仿宋" w:cs="仿宋"/>
          <w:b/>
          <w:bCs/>
          <w:color w:val="000000" w:themeColor="text1"/>
          <w:sz w:val="32"/>
          <w:szCs w:val="32"/>
          <w14:textFill>
            <w14:solidFill>
              <w14:schemeClr w14:val="tx1"/>
            </w14:solidFill>
          </w14:textFill>
        </w:rPr>
      </w:pPr>
      <w:r>
        <w:rPr>
          <w:rFonts w:hint="eastAsia" w:ascii="仿宋" w:hAnsi="仿宋" w:eastAsia="仿宋" w:cs="仿宋"/>
          <w:b/>
          <w:bCs/>
          <w:color w:val="000000" w:themeColor="text1"/>
          <w:sz w:val="32"/>
          <w:szCs w:val="32"/>
          <w14:textFill>
            <w14:solidFill>
              <w14:schemeClr w14:val="tx1"/>
            </w14:solidFill>
          </w14:textFill>
        </w:rPr>
        <w:t>5.1.2限烧区管控要求</w:t>
      </w:r>
      <w:bookmarkEnd w:id="36"/>
      <w:bookmarkEnd w:id="37"/>
    </w:p>
    <w:p w14:paraId="56A16590">
      <w:pPr>
        <w:ind w:firstLine="640"/>
        <w:rPr>
          <w:rFonts w:ascii="仿宋" w:hAnsi="仿宋" w:eastAsia="仿宋" w:cs="仿宋"/>
          <w:color w:val="000000" w:themeColor="text1"/>
          <w:sz w:val="32"/>
          <w:szCs w:val="32"/>
          <w14:textFill>
            <w14:solidFill>
              <w14:schemeClr w14:val="tx1"/>
            </w14:solidFill>
          </w14:textFill>
        </w:rPr>
      </w:pPr>
      <w:r>
        <w:rPr>
          <w:rFonts w:hint="eastAsia" w:ascii="仿宋" w:hAnsi="仿宋" w:eastAsia="仿宋" w:cs="仿宋"/>
          <w:color w:val="000000" w:themeColor="text1"/>
          <w:sz w:val="32"/>
          <w:szCs w:val="32"/>
          <w14:textFill>
            <w14:solidFill>
              <w14:schemeClr w14:val="tx1"/>
            </w14:solidFill>
          </w14:textFill>
        </w:rPr>
        <w:t>（1）有序秸秆焚烧的环境气象条件</w:t>
      </w:r>
    </w:p>
    <w:p w14:paraId="51FE4B08">
      <w:pPr>
        <w:ind w:firstLine="640"/>
        <w:rPr>
          <w:rFonts w:ascii="仿宋" w:hAnsi="仿宋" w:eastAsia="仿宋" w:cs="仿宋"/>
          <w:color w:val="000000" w:themeColor="text1"/>
          <w:sz w:val="32"/>
          <w:szCs w:val="32"/>
          <w14:textFill>
            <w14:solidFill>
              <w14:schemeClr w14:val="tx1"/>
            </w14:solidFill>
          </w14:textFill>
        </w:rPr>
      </w:pPr>
      <w:r>
        <w:rPr>
          <w:rFonts w:hint="eastAsia" w:ascii="仿宋" w:hAnsi="仿宋" w:eastAsia="仿宋" w:cs="仿宋"/>
          <w:color w:val="000000" w:themeColor="text1"/>
          <w:sz w:val="32"/>
          <w:szCs w:val="32"/>
          <w14:textFill>
            <w14:solidFill>
              <w14:schemeClr w14:val="tx1"/>
            </w14:solidFill>
          </w14:textFill>
        </w:rPr>
        <w:t>①空气质量较好，AQI指数优或良。</w:t>
      </w:r>
    </w:p>
    <w:p w14:paraId="1A8DAEB4">
      <w:pPr>
        <w:ind w:firstLine="640"/>
        <w:rPr>
          <w:rFonts w:ascii="仿宋" w:hAnsi="仿宋" w:eastAsia="仿宋" w:cs="仿宋"/>
          <w:color w:val="000000" w:themeColor="text1"/>
          <w:sz w:val="32"/>
          <w:szCs w:val="32"/>
          <w14:textFill>
            <w14:solidFill>
              <w14:schemeClr w14:val="tx1"/>
            </w14:solidFill>
          </w14:textFill>
        </w:rPr>
      </w:pPr>
      <w:r>
        <w:rPr>
          <w:rFonts w:hint="eastAsia" w:ascii="仿宋" w:hAnsi="仿宋" w:eastAsia="仿宋" w:cs="仿宋"/>
          <w:color w:val="000000" w:themeColor="text1"/>
          <w:sz w:val="32"/>
          <w:szCs w:val="32"/>
          <w14:textFill>
            <w14:solidFill>
              <w14:schemeClr w14:val="tx1"/>
            </w14:solidFill>
          </w14:textFill>
        </w:rPr>
        <w:t>②天气晴朗（晴天或多云），大气扩散条件好，边界层高度在800米以上。</w:t>
      </w:r>
    </w:p>
    <w:p w14:paraId="4E9A5CA6">
      <w:pPr>
        <w:ind w:firstLine="640"/>
        <w:rPr>
          <w:rFonts w:ascii="仿宋" w:hAnsi="仿宋" w:eastAsia="仿宋" w:cs="仿宋"/>
          <w:color w:val="000000" w:themeColor="text1"/>
          <w:sz w:val="32"/>
          <w:szCs w:val="32"/>
          <w14:textFill>
            <w14:solidFill>
              <w14:schemeClr w14:val="tx1"/>
            </w14:solidFill>
          </w14:textFill>
        </w:rPr>
      </w:pPr>
      <w:r>
        <w:rPr>
          <w:rFonts w:hint="eastAsia" w:ascii="仿宋" w:hAnsi="仿宋" w:eastAsia="仿宋" w:cs="仿宋"/>
          <w:color w:val="000000" w:themeColor="text1"/>
          <w:sz w:val="32"/>
          <w:szCs w:val="32"/>
          <w14:textFill>
            <w14:solidFill>
              <w14:schemeClr w14:val="tx1"/>
            </w14:solidFill>
          </w14:textFill>
        </w:rPr>
        <w:t>③风速条件合适（大于等于2级且小于等于5级），湿度较低（小于等于65%）。</w:t>
      </w:r>
    </w:p>
    <w:p w14:paraId="4674ED76">
      <w:pPr>
        <w:ind w:firstLine="640"/>
        <w:rPr>
          <w:rFonts w:ascii="仿宋" w:hAnsi="仿宋" w:eastAsia="仿宋" w:cs="仿宋"/>
          <w:color w:val="000000" w:themeColor="text1"/>
          <w:sz w:val="32"/>
          <w:szCs w:val="32"/>
          <w14:textFill>
            <w14:solidFill>
              <w14:schemeClr w14:val="tx1"/>
            </w14:solidFill>
          </w14:textFill>
        </w:rPr>
      </w:pPr>
      <w:r>
        <w:rPr>
          <w:rFonts w:hint="eastAsia" w:ascii="仿宋" w:hAnsi="仿宋" w:eastAsia="仿宋" w:cs="仿宋"/>
          <w:color w:val="000000" w:themeColor="text1"/>
          <w:sz w:val="32"/>
          <w:szCs w:val="32"/>
          <w14:textFill>
            <w14:solidFill>
              <w14:schemeClr w14:val="tx1"/>
            </w14:solidFill>
          </w14:textFill>
        </w:rPr>
        <w:t>④在冬季宜选择在受冷空气影响（日降温幅度在6℃以上）或未来8小时后有小雨以上级别的降水。</w:t>
      </w:r>
    </w:p>
    <w:p w14:paraId="08EAAC17">
      <w:pPr>
        <w:ind w:firstLine="640"/>
        <w:rPr>
          <w:rFonts w:ascii="仿宋" w:hAnsi="仿宋" w:eastAsia="仿宋" w:cs="仿宋"/>
          <w:color w:val="000000" w:themeColor="text1"/>
          <w:sz w:val="32"/>
          <w:szCs w:val="32"/>
          <w14:textFill>
            <w14:solidFill>
              <w14:schemeClr w14:val="tx1"/>
            </w14:solidFill>
          </w14:textFill>
        </w:rPr>
      </w:pPr>
      <w:r>
        <w:rPr>
          <w:rFonts w:hint="eastAsia" w:ascii="仿宋" w:hAnsi="仿宋" w:eastAsia="仿宋" w:cs="仿宋"/>
          <w:color w:val="000000" w:themeColor="text1"/>
          <w:sz w:val="32"/>
          <w:szCs w:val="32"/>
          <w14:textFill>
            <w14:solidFill>
              <w14:schemeClr w14:val="tx1"/>
            </w14:solidFill>
          </w14:textFill>
        </w:rPr>
        <w:t>（2）分区域分时段露天焚烧</w:t>
      </w:r>
    </w:p>
    <w:p w14:paraId="7F80FCD1">
      <w:pPr>
        <w:ind w:firstLine="640"/>
        <w:rPr>
          <w:rFonts w:ascii="仿宋" w:hAnsi="仿宋" w:eastAsia="仿宋" w:cs="仿宋"/>
          <w:color w:val="000000" w:themeColor="text1"/>
          <w:sz w:val="32"/>
          <w:szCs w:val="32"/>
          <w14:textFill>
            <w14:solidFill>
              <w14:schemeClr w14:val="tx1"/>
            </w14:solidFill>
          </w14:textFill>
        </w:rPr>
      </w:pPr>
      <w:r>
        <w:rPr>
          <w:rFonts w:hint="eastAsia" w:ascii="仿宋" w:hAnsi="仿宋" w:eastAsia="仿宋" w:cs="仿宋"/>
          <w:color w:val="000000" w:themeColor="text1"/>
          <w:sz w:val="32"/>
          <w:szCs w:val="32"/>
          <w14:textFill>
            <w14:solidFill>
              <w14:schemeClr w14:val="tx1"/>
            </w14:solidFill>
          </w14:textFill>
        </w:rPr>
        <w:t>①满足上述环境气象条件，分区域进行有序焚烧，以防止大面积集中焚烧带来区域大气污染。</w:t>
      </w:r>
    </w:p>
    <w:p w14:paraId="4CC583F9">
      <w:pPr>
        <w:ind w:firstLine="640"/>
        <w:rPr>
          <w:rFonts w:ascii="仿宋" w:hAnsi="仿宋" w:eastAsia="仿宋" w:cs="仿宋"/>
          <w:color w:val="000000" w:themeColor="text1"/>
          <w:sz w:val="32"/>
          <w:szCs w:val="32"/>
          <w14:textFill>
            <w14:solidFill>
              <w14:schemeClr w14:val="tx1"/>
            </w14:solidFill>
          </w14:textFill>
        </w:rPr>
      </w:pPr>
      <w:r>
        <w:rPr>
          <w:rFonts w:hint="eastAsia" w:ascii="仿宋" w:hAnsi="仿宋" w:eastAsia="仿宋" w:cs="仿宋"/>
          <w:color w:val="000000" w:themeColor="text1"/>
          <w:sz w:val="32"/>
          <w:szCs w:val="32"/>
          <w14:textFill>
            <w14:solidFill>
              <w14:schemeClr w14:val="tx1"/>
            </w14:solidFill>
          </w14:textFill>
        </w:rPr>
        <w:t>②秸秆焚烧时段应根据当地气象部门提供的气象条件进行。一般选择在上午10点到下午3点之间大气边界层较高（500米以上）的情况下进行焚烧，而禁止在大气边界层较低的清晨、傍晚及夜间禁烧。</w:t>
      </w:r>
    </w:p>
    <w:p w14:paraId="1EFE3B7E">
      <w:pPr>
        <w:ind w:firstLine="640"/>
        <w:rPr>
          <w:rFonts w:ascii="仿宋" w:hAnsi="仿宋" w:eastAsia="仿宋" w:cs="仿宋"/>
          <w:color w:val="000000" w:themeColor="text1"/>
          <w:sz w:val="32"/>
          <w:szCs w:val="32"/>
          <w14:textFill>
            <w14:solidFill>
              <w14:schemeClr w14:val="tx1"/>
            </w14:solidFill>
          </w14:textFill>
        </w:rPr>
      </w:pPr>
      <w:r>
        <w:rPr>
          <w:rFonts w:hint="eastAsia" w:ascii="仿宋" w:hAnsi="仿宋" w:eastAsia="仿宋" w:cs="仿宋"/>
          <w:color w:val="000000" w:themeColor="text1"/>
          <w:sz w:val="32"/>
          <w:szCs w:val="32"/>
          <w14:textFill>
            <w14:solidFill>
              <w14:schemeClr w14:val="tx1"/>
            </w14:solidFill>
          </w14:textFill>
        </w:rPr>
        <w:t>③在启动重污染天气预警期间，限烧区全面禁止露天焚烧秸秆。</w:t>
      </w:r>
    </w:p>
    <w:p w14:paraId="32E194A5">
      <w:pPr>
        <w:ind w:firstLine="640"/>
        <w:rPr>
          <w:rFonts w:ascii="仿宋" w:hAnsi="仿宋" w:eastAsia="仿宋" w:cs="仿宋"/>
          <w:color w:val="000000" w:themeColor="text1"/>
          <w:sz w:val="32"/>
          <w:szCs w:val="32"/>
          <w14:textFill>
            <w14:solidFill>
              <w14:schemeClr w14:val="tx1"/>
            </w14:solidFill>
          </w14:textFill>
        </w:rPr>
      </w:pPr>
      <w:r>
        <w:rPr>
          <w:rFonts w:hint="eastAsia" w:ascii="仿宋" w:hAnsi="仿宋" w:eastAsia="仿宋" w:cs="仿宋"/>
          <w:color w:val="000000" w:themeColor="text1"/>
          <w:sz w:val="32"/>
          <w:szCs w:val="32"/>
          <w14:textFill>
            <w14:solidFill>
              <w14:schemeClr w14:val="tx1"/>
            </w14:solidFill>
          </w14:textFill>
        </w:rPr>
        <w:t>（3）气象条件获取及可焚烧区域发布</w:t>
      </w:r>
    </w:p>
    <w:p w14:paraId="020B3941">
      <w:pPr>
        <w:ind w:firstLine="640"/>
        <w:rPr>
          <w:rFonts w:ascii="仿宋" w:hAnsi="仿宋" w:eastAsia="仿宋" w:cs="仿宋"/>
          <w:color w:val="000000" w:themeColor="text1"/>
          <w:sz w:val="32"/>
          <w:szCs w:val="32"/>
          <w14:textFill>
            <w14:solidFill>
              <w14:schemeClr w14:val="tx1"/>
            </w14:solidFill>
          </w14:textFill>
        </w:rPr>
      </w:pPr>
      <w:r>
        <w:rPr>
          <w:rFonts w:hint="eastAsia" w:ascii="仿宋" w:hAnsi="仿宋" w:eastAsia="仿宋" w:cs="仿宋"/>
          <w:color w:val="000000" w:themeColor="text1"/>
          <w:sz w:val="32"/>
          <w:szCs w:val="32"/>
          <w14:textFill>
            <w14:solidFill>
              <w14:schemeClr w14:val="tx1"/>
            </w14:solidFill>
          </w14:textFill>
        </w:rPr>
        <w:t>在秸秆焚烧重点管控时段，即夏收、秋收、秋冬季期间由气象部门发布或气象APP（</w:t>
      </w:r>
      <w:r>
        <w:rPr>
          <w:rFonts w:hint="eastAsia" w:ascii="仿宋" w:hAnsi="仿宋" w:eastAsia="仿宋" w:cs="仿宋"/>
          <w:sz w:val="32"/>
          <w:szCs w:val="32"/>
        </w:rPr>
        <w:t>如湖南天气、拇指天气）</w:t>
      </w:r>
      <w:r>
        <w:rPr>
          <w:rFonts w:hint="eastAsia" w:ascii="仿宋" w:hAnsi="仿宋" w:eastAsia="仿宋" w:cs="仿宋"/>
          <w:color w:val="000000" w:themeColor="text1"/>
          <w:sz w:val="32"/>
          <w:szCs w:val="32"/>
          <w14:textFill>
            <w14:solidFill>
              <w14:schemeClr w14:val="tx1"/>
            </w14:solidFill>
          </w14:textFill>
        </w:rPr>
        <w:t>获取未来一周天气、温度、湿度、风速、降水等气象数据。根据市级调度安排，在限烧区可进行有计划、有序的秸秆露天焚烧活动。</w:t>
      </w:r>
    </w:p>
    <w:p w14:paraId="5ED553CC">
      <w:pPr>
        <w:pStyle w:val="3"/>
        <w:numPr>
          <w:ilvl w:val="1"/>
          <w:numId w:val="0"/>
        </w:numPr>
        <w:ind w:firstLine="643" w:firstLineChars="200"/>
        <w:rPr>
          <w:rFonts w:ascii="楷体" w:hAnsi="楷体" w:eastAsia="楷体" w:cs="楷体"/>
          <w:color w:val="000000" w:themeColor="text1"/>
          <w:sz w:val="32"/>
          <w14:textFill>
            <w14:solidFill>
              <w14:schemeClr w14:val="tx1"/>
            </w14:solidFill>
          </w14:textFill>
        </w:rPr>
      </w:pPr>
      <w:bookmarkStart w:id="38" w:name="_Toc30993"/>
      <w:bookmarkStart w:id="39" w:name="_Toc25174"/>
      <w:bookmarkStart w:id="40" w:name="_Toc174515770"/>
      <w:r>
        <w:rPr>
          <w:rFonts w:hint="eastAsia" w:ascii="楷体" w:hAnsi="楷体" w:eastAsia="楷体" w:cs="楷体"/>
          <w:color w:val="000000" w:themeColor="text1"/>
          <w:sz w:val="32"/>
          <w14:textFill>
            <w14:solidFill>
              <w14:schemeClr w14:val="tx1"/>
            </w14:solidFill>
          </w14:textFill>
        </w:rPr>
        <w:t>5.2管理办法</w:t>
      </w:r>
      <w:bookmarkEnd w:id="38"/>
      <w:bookmarkEnd w:id="39"/>
      <w:bookmarkEnd w:id="40"/>
    </w:p>
    <w:p w14:paraId="5F8C6937">
      <w:pPr>
        <w:ind w:firstLine="643"/>
        <w:rPr>
          <w:rFonts w:ascii="仿宋" w:hAnsi="仿宋" w:eastAsia="仿宋" w:cs="仿宋"/>
          <w:b/>
          <w:bCs/>
          <w:color w:val="000000" w:themeColor="text1"/>
          <w:sz w:val="32"/>
          <w:szCs w:val="32"/>
          <w14:textFill>
            <w14:solidFill>
              <w14:schemeClr w14:val="tx1"/>
            </w14:solidFill>
          </w14:textFill>
        </w:rPr>
      </w:pPr>
      <w:r>
        <w:rPr>
          <w:rFonts w:hint="eastAsia" w:ascii="仿宋" w:hAnsi="仿宋" w:eastAsia="仿宋" w:cs="仿宋"/>
          <w:b/>
          <w:bCs/>
          <w:color w:val="000000" w:themeColor="text1"/>
          <w:sz w:val="32"/>
          <w:szCs w:val="32"/>
          <w14:textFill>
            <w14:solidFill>
              <w14:schemeClr w14:val="tx1"/>
            </w14:solidFill>
          </w14:textFill>
        </w:rPr>
        <w:t>1.重点管控区域</w:t>
      </w:r>
    </w:p>
    <w:p w14:paraId="47C1DCBD">
      <w:pPr>
        <w:ind w:firstLine="640"/>
        <w:rPr>
          <w:rFonts w:ascii="仿宋" w:hAnsi="仿宋" w:eastAsia="仿宋" w:cs="仿宋"/>
          <w:sz w:val="32"/>
          <w:szCs w:val="32"/>
        </w:rPr>
      </w:pPr>
      <w:r>
        <w:rPr>
          <w:rFonts w:hint="eastAsia" w:ascii="仿宋" w:hAnsi="仿宋" w:eastAsia="仿宋" w:cs="仿宋"/>
          <w:sz w:val="32"/>
          <w:szCs w:val="32"/>
        </w:rPr>
        <w:t>全县农作物种植区、人口集中区及重点生态功能区等重点区域。</w:t>
      </w:r>
    </w:p>
    <w:p w14:paraId="723F8E11">
      <w:pPr>
        <w:ind w:firstLine="643"/>
        <w:rPr>
          <w:rFonts w:ascii="仿宋" w:hAnsi="仿宋" w:eastAsia="仿宋" w:cs="仿宋"/>
          <w:b/>
          <w:bCs/>
          <w:color w:val="000000" w:themeColor="text1"/>
          <w:sz w:val="32"/>
          <w:szCs w:val="32"/>
          <w14:textFill>
            <w14:solidFill>
              <w14:schemeClr w14:val="tx1"/>
            </w14:solidFill>
          </w14:textFill>
        </w:rPr>
      </w:pPr>
      <w:r>
        <w:rPr>
          <w:rFonts w:hint="eastAsia" w:ascii="仿宋" w:hAnsi="仿宋" w:eastAsia="仿宋" w:cs="仿宋"/>
          <w:b/>
          <w:bCs/>
          <w:color w:val="000000" w:themeColor="text1"/>
          <w:sz w:val="32"/>
          <w:szCs w:val="32"/>
          <w14:textFill>
            <w14:solidFill>
              <w14:schemeClr w14:val="tx1"/>
            </w14:solidFill>
          </w14:textFill>
        </w:rPr>
        <w:t>2.重点管控时段</w:t>
      </w:r>
    </w:p>
    <w:p w14:paraId="38C291E6">
      <w:pPr>
        <w:ind w:firstLine="640"/>
        <w:rPr>
          <w:rFonts w:ascii="仿宋" w:hAnsi="仿宋" w:eastAsia="仿宋" w:cs="仿宋"/>
          <w:color w:val="000000" w:themeColor="text1"/>
          <w:sz w:val="32"/>
          <w:szCs w:val="32"/>
          <w14:textFill>
            <w14:solidFill>
              <w14:schemeClr w14:val="tx1"/>
            </w14:solidFill>
          </w14:textFill>
        </w:rPr>
      </w:pPr>
      <w:r>
        <w:rPr>
          <w:rFonts w:hint="eastAsia" w:ascii="仿宋" w:hAnsi="仿宋" w:eastAsia="仿宋" w:cs="仿宋"/>
          <w:color w:val="000000" w:themeColor="text1"/>
          <w:sz w:val="32"/>
          <w:szCs w:val="32"/>
          <w14:textFill>
            <w14:solidFill>
              <w14:schemeClr w14:val="tx1"/>
            </w14:solidFill>
          </w14:textFill>
        </w:rPr>
        <w:t>夏收时段：每年</w:t>
      </w:r>
      <w:r>
        <w:rPr>
          <w:rFonts w:hint="eastAsia" w:ascii="仿宋" w:hAnsi="仿宋" w:eastAsia="仿宋" w:cs="仿宋"/>
          <w:sz w:val="32"/>
          <w:szCs w:val="32"/>
        </w:rPr>
        <w:t>5月中下旬</w:t>
      </w:r>
      <w:r>
        <w:rPr>
          <w:rFonts w:hint="eastAsia" w:ascii="仿宋" w:hAnsi="仿宋" w:eastAsia="仿宋" w:cs="仿宋"/>
          <w:color w:val="000000" w:themeColor="text1"/>
          <w:sz w:val="32"/>
          <w:szCs w:val="32"/>
          <w14:textFill>
            <w14:solidFill>
              <w14:schemeClr w14:val="tx1"/>
            </w14:solidFill>
          </w14:textFill>
        </w:rPr>
        <w:t>；</w:t>
      </w:r>
    </w:p>
    <w:p w14:paraId="6C4B2345">
      <w:pPr>
        <w:ind w:firstLine="640"/>
        <w:rPr>
          <w:rFonts w:ascii="仿宋" w:hAnsi="仿宋" w:eastAsia="仿宋" w:cs="仿宋"/>
          <w:color w:val="000000" w:themeColor="text1"/>
          <w:sz w:val="32"/>
          <w:szCs w:val="32"/>
          <w14:textFill>
            <w14:solidFill>
              <w14:schemeClr w14:val="tx1"/>
            </w14:solidFill>
          </w14:textFill>
        </w:rPr>
      </w:pPr>
      <w:r>
        <w:rPr>
          <w:rFonts w:hint="eastAsia" w:ascii="仿宋" w:hAnsi="仿宋" w:eastAsia="仿宋" w:cs="仿宋"/>
          <w:color w:val="000000" w:themeColor="text1"/>
          <w:sz w:val="32"/>
          <w:szCs w:val="32"/>
          <w14:textFill>
            <w14:solidFill>
              <w14:schemeClr w14:val="tx1"/>
            </w14:solidFill>
          </w14:textFill>
        </w:rPr>
        <w:t>秋收时段：每年9月下旬至10月；</w:t>
      </w:r>
    </w:p>
    <w:p w14:paraId="0FF9CD2A">
      <w:pPr>
        <w:ind w:firstLine="640"/>
        <w:rPr>
          <w:rFonts w:ascii="仿宋" w:hAnsi="仿宋" w:eastAsia="仿宋" w:cs="仿宋"/>
          <w:color w:val="000000" w:themeColor="text1"/>
          <w:sz w:val="32"/>
          <w:szCs w:val="32"/>
          <w14:textFill>
            <w14:solidFill>
              <w14:schemeClr w14:val="tx1"/>
            </w14:solidFill>
          </w14:textFill>
        </w:rPr>
      </w:pPr>
      <w:r>
        <w:rPr>
          <w:rFonts w:hint="eastAsia" w:ascii="仿宋" w:hAnsi="仿宋" w:eastAsia="仿宋" w:cs="仿宋"/>
          <w:color w:val="000000" w:themeColor="text1"/>
          <w:sz w:val="32"/>
          <w:szCs w:val="32"/>
          <w14:textFill>
            <w14:solidFill>
              <w14:schemeClr w14:val="tx1"/>
            </w14:solidFill>
          </w14:textFill>
        </w:rPr>
        <w:t>大气扩散条件较差的时段：每年的11月至次年3月。</w:t>
      </w:r>
    </w:p>
    <w:p w14:paraId="44A492E6">
      <w:pPr>
        <w:pStyle w:val="5"/>
        <w:ind w:firstLine="640"/>
        <w:rPr>
          <w:rFonts w:ascii="仿宋" w:hAnsi="仿宋" w:eastAsia="仿宋" w:cs="仿宋"/>
          <w:sz w:val="32"/>
          <w:szCs w:val="32"/>
        </w:rPr>
      </w:pPr>
      <w:r>
        <w:rPr>
          <w:rFonts w:hint="eastAsia" w:ascii="仿宋" w:hAnsi="仿宋" w:eastAsia="仿宋" w:cs="仿宋"/>
          <w:sz w:val="32"/>
          <w:szCs w:val="32"/>
        </w:rPr>
        <w:t>森林火险高风险期间禁止一切野外用火。</w:t>
      </w:r>
    </w:p>
    <w:p w14:paraId="03EAF148">
      <w:pPr>
        <w:ind w:firstLine="643"/>
        <w:rPr>
          <w:rFonts w:ascii="仿宋" w:hAnsi="仿宋" w:eastAsia="仿宋" w:cs="仿宋"/>
          <w:b/>
          <w:bCs/>
          <w:color w:val="000000" w:themeColor="text1"/>
          <w:sz w:val="32"/>
          <w:szCs w:val="32"/>
          <w14:textFill>
            <w14:solidFill>
              <w14:schemeClr w14:val="tx1"/>
            </w14:solidFill>
          </w14:textFill>
        </w:rPr>
      </w:pPr>
      <w:r>
        <w:rPr>
          <w:rFonts w:hint="eastAsia" w:ascii="仿宋" w:hAnsi="仿宋" w:eastAsia="仿宋" w:cs="仿宋"/>
          <w:b/>
          <w:bCs/>
          <w:color w:val="000000" w:themeColor="text1"/>
          <w:sz w:val="32"/>
          <w:szCs w:val="32"/>
          <w14:textFill>
            <w14:solidFill>
              <w14:schemeClr w14:val="tx1"/>
            </w14:solidFill>
          </w14:textFill>
        </w:rPr>
        <w:t>3.管控手段</w:t>
      </w:r>
    </w:p>
    <w:p w14:paraId="3B1DB295">
      <w:pPr>
        <w:ind w:firstLine="640"/>
        <w:rPr>
          <w:rFonts w:ascii="仿宋" w:hAnsi="仿宋" w:eastAsia="仿宋" w:cs="仿宋"/>
          <w:color w:val="000000" w:themeColor="text1"/>
          <w:sz w:val="32"/>
          <w:szCs w:val="32"/>
          <w14:textFill>
            <w14:solidFill>
              <w14:schemeClr w14:val="tx1"/>
            </w14:solidFill>
          </w14:textFill>
        </w:rPr>
      </w:pPr>
      <w:r>
        <w:rPr>
          <w:rFonts w:hint="eastAsia" w:ascii="仿宋" w:hAnsi="仿宋" w:eastAsia="仿宋" w:cs="仿宋"/>
          <w:color w:val="000000" w:themeColor="text1"/>
          <w:sz w:val="32"/>
          <w:szCs w:val="32"/>
          <w14:textFill>
            <w14:solidFill>
              <w14:schemeClr w14:val="tx1"/>
            </w14:solidFill>
          </w14:textFill>
        </w:rPr>
        <w:t>（1）细化各部门的监管责任，充分发挥乡镇（场）村（社区）基层组织作用，加强联防联控。</w:t>
      </w:r>
    </w:p>
    <w:p w14:paraId="429ECD8D">
      <w:pPr>
        <w:ind w:firstLine="640"/>
        <w:rPr>
          <w:rFonts w:ascii="仿宋" w:hAnsi="仿宋" w:eastAsia="仿宋" w:cs="仿宋"/>
          <w:color w:val="000000" w:themeColor="text1"/>
          <w:sz w:val="32"/>
          <w:szCs w:val="32"/>
          <w14:textFill>
            <w14:solidFill>
              <w14:schemeClr w14:val="tx1"/>
            </w14:solidFill>
          </w14:textFill>
        </w:rPr>
      </w:pPr>
      <w:r>
        <w:rPr>
          <w:rFonts w:hint="eastAsia" w:ascii="仿宋" w:hAnsi="仿宋" w:eastAsia="仿宋" w:cs="仿宋"/>
          <w:color w:val="000000" w:themeColor="text1"/>
          <w:sz w:val="32"/>
          <w:szCs w:val="32"/>
          <w14:textFill>
            <w14:solidFill>
              <w14:schemeClr w14:val="tx1"/>
            </w14:solidFill>
          </w14:textFill>
        </w:rPr>
        <w:t>（2）乡镇（场）实行“定点、定时、定人、定责”管控，建立全覆盖、无死角的网格化监管体系，切实将监管责任落实到具体单位和个人。</w:t>
      </w:r>
    </w:p>
    <w:p w14:paraId="022E5CE6">
      <w:pPr>
        <w:ind w:firstLine="640"/>
        <w:rPr>
          <w:rFonts w:ascii="仿宋" w:hAnsi="仿宋" w:eastAsia="仿宋" w:cs="仿宋"/>
          <w:color w:val="000000" w:themeColor="text1"/>
          <w:sz w:val="32"/>
          <w:szCs w:val="32"/>
          <w14:textFill>
            <w14:solidFill>
              <w14:schemeClr w14:val="tx1"/>
            </w14:solidFill>
          </w14:textFill>
        </w:rPr>
      </w:pPr>
      <w:r>
        <w:rPr>
          <w:rFonts w:hint="eastAsia" w:ascii="仿宋" w:hAnsi="仿宋" w:eastAsia="仿宋" w:cs="仿宋"/>
          <w:color w:val="000000" w:themeColor="text1"/>
          <w:sz w:val="32"/>
          <w:szCs w:val="32"/>
          <w14:textFill>
            <w14:solidFill>
              <w14:schemeClr w14:val="tx1"/>
            </w14:solidFill>
          </w14:textFill>
        </w:rPr>
        <w:t>（3）加大巡查检查执法力度，对重点区域实行重点巡查检查，严厉查处禁燃区内露天焚烧秸秆行为。根据限烧区划定情况，按照网格化管理，确保网格内限烧区焚烧秸秆审批监管无盲区。各乡镇（街道）要及时发现和制止违规露天焚烧秸秆行为。同时明确专人填写巡查台账，并向上级进行报告。巡查发现违规焚烧秸秆问题后，要及时开展调查，按照规定进行处理，并及时上报。</w:t>
      </w:r>
    </w:p>
    <w:p w14:paraId="31860BE2">
      <w:pPr>
        <w:ind w:firstLine="640"/>
        <w:rPr>
          <w:rFonts w:ascii="仿宋" w:hAnsi="仿宋" w:eastAsia="仿宋" w:cs="仿宋"/>
          <w:color w:val="000000" w:themeColor="text1"/>
          <w:sz w:val="32"/>
          <w:szCs w:val="32"/>
          <w14:textFill>
            <w14:solidFill>
              <w14:schemeClr w14:val="tx1"/>
            </w14:solidFill>
          </w14:textFill>
        </w:rPr>
      </w:pPr>
      <w:r>
        <w:rPr>
          <w:rFonts w:hint="eastAsia" w:ascii="仿宋" w:hAnsi="仿宋" w:eastAsia="仿宋" w:cs="仿宋"/>
          <w:color w:val="000000" w:themeColor="text1"/>
          <w:sz w:val="32"/>
          <w:szCs w:val="32"/>
          <w14:textFill>
            <w14:solidFill>
              <w14:schemeClr w14:val="tx1"/>
            </w14:solidFill>
          </w14:textFill>
        </w:rPr>
        <w:t>（4）加宣传教育力度，在焚烧秸秆季节在各乡镇定期开展安全讲座，在各自然保护区、人口密集区、高速公路、国道、省道出入口、文物保护单位等重要区域设置禁止焚烧秸秆安全警示牌。</w:t>
      </w:r>
    </w:p>
    <w:p w14:paraId="66361F5E">
      <w:pPr>
        <w:pStyle w:val="3"/>
        <w:numPr>
          <w:ilvl w:val="1"/>
          <w:numId w:val="0"/>
        </w:numPr>
        <w:ind w:firstLine="643" w:firstLineChars="200"/>
        <w:rPr>
          <w:rFonts w:ascii="楷体" w:hAnsi="楷体" w:eastAsia="楷体" w:cs="楷体"/>
          <w:color w:val="000000" w:themeColor="text1"/>
          <w:sz w:val="32"/>
          <w14:textFill>
            <w14:solidFill>
              <w14:schemeClr w14:val="tx1"/>
            </w14:solidFill>
          </w14:textFill>
        </w:rPr>
      </w:pPr>
      <w:bookmarkStart w:id="41" w:name="_Toc174515771"/>
      <w:r>
        <w:rPr>
          <w:rFonts w:hint="eastAsia" w:ascii="楷体" w:hAnsi="楷体" w:eastAsia="楷体" w:cs="楷体"/>
          <w:color w:val="000000" w:themeColor="text1"/>
          <w:sz w:val="32"/>
          <w14:textFill>
            <w14:solidFill>
              <w14:schemeClr w14:val="tx1"/>
            </w14:solidFill>
          </w14:textFill>
        </w:rPr>
        <w:t>5.3管控保障措施</w:t>
      </w:r>
      <w:bookmarkEnd w:id="41"/>
    </w:p>
    <w:p w14:paraId="4847F5E0">
      <w:pPr>
        <w:ind w:firstLine="640"/>
        <w:rPr>
          <w:rFonts w:ascii="仿宋" w:hAnsi="仿宋" w:eastAsia="仿宋" w:cs="仿宋"/>
          <w:color w:val="000000" w:themeColor="text1"/>
          <w:sz w:val="32"/>
          <w:szCs w:val="32"/>
          <w14:textFill>
            <w14:solidFill>
              <w14:schemeClr w14:val="tx1"/>
            </w14:solidFill>
          </w14:textFill>
        </w:rPr>
      </w:pPr>
      <w:r>
        <w:rPr>
          <w:rFonts w:hint="eastAsia" w:ascii="仿宋" w:hAnsi="仿宋" w:eastAsia="仿宋" w:cs="仿宋"/>
          <w:color w:val="000000" w:themeColor="text1"/>
          <w:sz w:val="32"/>
          <w:szCs w:val="32"/>
          <w14:textFill>
            <w14:solidFill>
              <w14:schemeClr w14:val="tx1"/>
            </w14:solidFill>
          </w14:textFill>
        </w:rPr>
        <w:t>（1）科学设立网格，安排人员开展巡查处置工作，确保不发生火情。</w:t>
      </w:r>
    </w:p>
    <w:p w14:paraId="54E6A023">
      <w:pPr>
        <w:ind w:firstLine="640"/>
        <w:rPr>
          <w:rFonts w:ascii="仿宋" w:hAnsi="仿宋" w:eastAsia="仿宋" w:cs="仿宋"/>
          <w:color w:val="000000" w:themeColor="text1"/>
          <w:sz w:val="32"/>
          <w:szCs w:val="32"/>
          <w14:textFill>
            <w14:solidFill>
              <w14:schemeClr w14:val="tx1"/>
            </w14:solidFill>
          </w14:textFill>
        </w:rPr>
      </w:pPr>
      <w:r>
        <w:rPr>
          <w:rFonts w:hint="eastAsia" w:ascii="仿宋" w:hAnsi="仿宋" w:eastAsia="仿宋" w:cs="仿宋"/>
          <w:color w:val="000000" w:themeColor="text1"/>
          <w:sz w:val="32"/>
          <w:szCs w:val="32"/>
          <w14:textFill>
            <w14:solidFill>
              <w14:schemeClr w14:val="tx1"/>
            </w14:solidFill>
          </w14:textFill>
        </w:rPr>
        <w:t>（2）秸秆限烧区设置显示限烧区范围及限烧管控要求的警示牌，在特定时间，特定范围由村（社区）统一向乡镇（场）申报，经批准后由村组织在村干部或网格员的监督下开展有秩序的焚烧秸秆，并将审批情况分别上报邵阳市生态环境局城步分局、城步苗族自治县蓝天保卫战指挥部、城步苗族自治县农业农村局、城步苗族自治县森林防火指挥部办公室。</w:t>
      </w:r>
    </w:p>
    <w:p w14:paraId="19931431">
      <w:pPr>
        <w:ind w:firstLine="640"/>
        <w:rPr>
          <w:rFonts w:ascii="仿宋" w:hAnsi="仿宋" w:eastAsia="仿宋" w:cs="仿宋"/>
          <w:color w:val="000000" w:themeColor="text1"/>
          <w:sz w:val="32"/>
          <w:szCs w:val="32"/>
          <w14:textFill>
            <w14:solidFill>
              <w14:schemeClr w14:val="tx1"/>
            </w14:solidFill>
          </w14:textFill>
        </w:rPr>
      </w:pPr>
      <w:r>
        <w:rPr>
          <w:rFonts w:hint="eastAsia" w:ascii="仿宋" w:hAnsi="仿宋" w:eastAsia="仿宋" w:cs="仿宋"/>
          <w:color w:val="000000" w:themeColor="text1"/>
          <w:sz w:val="32"/>
          <w:szCs w:val="32"/>
          <w14:textFill>
            <w14:solidFill>
              <w14:schemeClr w14:val="tx1"/>
            </w14:solidFill>
          </w14:textFill>
        </w:rPr>
        <w:t>（3）重点管控时段安排禁烧宣传员，对秸秆禁烧的政策法律法规以及严厉的处罚措施进行宣讲。</w:t>
      </w:r>
    </w:p>
    <w:p w14:paraId="3C9223FC">
      <w:pPr>
        <w:pStyle w:val="3"/>
        <w:numPr>
          <w:ilvl w:val="1"/>
          <w:numId w:val="0"/>
        </w:numPr>
        <w:ind w:firstLine="643" w:firstLineChars="200"/>
        <w:rPr>
          <w:rFonts w:ascii="楷体" w:hAnsi="楷体" w:eastAsia="楷体" w:cs="楷体"/>
          <w:color w:val="000000" w:themeColor="text1"/>
          <w:sz w:val="32"/>
          <w14:textFill>
            <w14:solidFill>
              <w14:schemeClr w14:val="tx1"/>
            </w14:solidFill>
          </w14:textFill>
        </w:rPr>
      </w:pPr>
      <w:bookmarkStart w:id="42" w:name="_Toc174515772"/>
      <w:bookmarkStart w:id="43" w:name="_Toc15629"/>
      <w:bookmarkStart w:id="44" w:name="_Toc887"/>
      <w:r>
        <w:rPr>
          <w:rFonts w:hint="eastAsia" w:ascii="楷体" w:hAnsi="楷体" w:eastAsia="楷体" w:cs="楷体"/>
          <w:color w:val="000000" w:themeColor="text1"/>
          <w:sz w:val="32"/>
          <w14:textFill>
            <w14:solidFill>
              <w14:schemeClr w14:val="tx1"/>
            </w14:solidFill>
          </w14:textFill>
        </w:rPr>
        <w:t>5.4秸秆离田管理措施</w:t>
      </w:r>
      <w:bookmarkEnd w:id="42"/>
    </w:p>
    <w:p w14:paraId="43358186">
      <w:pPr>
        <w:ind w:firstLine="640"/>
        <w:rPr>
          <w:rFonts w:ascii="仿宋" w:hAnsi="仿宋" w:eastAsia="仿宋" w:cs="仿宋"/>
          <w:color w:val="000000" w:themeColor="text1"/>
          <w:sz w:val="32"/>
          <w:szCs w:val="32"/>
          <w14:textFill>
            <w14:solidFill>
              <w14:schemeClr w14:val="tx1"/>
            </w14:solidFill>
          </w14:textFill>
        </w:rPr>
      </w:pPr>
      <w:r>
        <w:rPr>
          <w:rFonts w:hint="eastAsia" w:ascii="仿宋" w:hAnsi="仿宋" w:eastAsia="仿宋" w:cs="仿宋"/>
          <w:color w:val="000000" w:themeColor="text1"/>
          <w:sz w:val="32"/>
          <w:szCs w:val="32"/>
          <w14:textFill>
            <w14:solidFill>
              <w14:schemeClr w14:val="tx1"/>
            </w14:solidFill>
          </w14:textFill>
        </w:rPr>
        <w:t>（1）大力推广秸秆捡拾打捆、离田机械化作业技术，认真做好秸秆离田、集中清运工作，通过秸秆离田解决秸秆禁烧难题。</w:t>
      </w:r>
    </w:p>
    <w:p w14:paraId="6B74CEFD">
      <w:pPr>
        <w:ind w:firstLine="640"/>
        <w:rPr>
          <w:rFonts w:ascii="仿宋" w:hAnsi="仿宋" w:eastAsia="仿宋" w:cs="仿宋"/>
          <w:color w:val="000000" w:themeColor="text1"/>
          <w:sz w:val="32"/>
          <w:szCs w:val="32"/>
          <w14:textFill>
            <w14:solidFill>
              <w14:schemeClr w14:val="tx1"/>
            </w14:solidFill>
          </w14:textFill>
        </w:rPr>
      </w:pPr>
      <w:r>
        <w:rPr>
          <w:rFonts w:hint="eastAsia" w:ascii="仿宋" w:hAnsi="仿宋" w:eastAsia="仿宋" w:cs="仿宋"/>
          <w:color w:val="000000" w:themeColor="text1"/>
          <w:sz w:val="32"/>
          <w:szCs w:val="32"/>
          <w14:textFill>
            <w14:solidFill>
              <w14:schemeClr w14:val="tx1"/>
            </w14:solidFill>
          </w14:textFill>
        </w:rPr>
        <w:t>（2）加大秸秆还田工作力度，大力推广秸秆覆盖还田保护性耕作、玉米秸秆深翻还田等技术，提高还田质量，鼓励农民把秸秆就地转化利用。</w:t>
      </w:r>
    </w:p>
    <w:p w14:paraId="296E4CC3">
      <w:pPr>
        <w:ind w:firstLine="640"/>
        <w:rPr>
          <w:rFonts w:ascii="仿宋" w:hAnsi="仿宋" w:eastAsia="仿宋" w:cs="仿宋"/>
          <w:color w:val="000000" w:themeColor="text1"/>
          <w:sz w:val="32"/>
          <w:szCs w:val="32"/>
          <w14:textFill>
            <w14:solidFill>
              <w14:schemeClr w14:val="tx1"/>
            </w14:solidFill>
          </w14:textFill>
        </w:rPr>
      </w:pPr>
      <w:r>
        <w:rPr>
          <w:rFonts w:hint="eastAsia" w:ascii="仿宋" w:hAnsi="仿宋" w:eastAsia="仿宋" w:cs="仿宋"/>
          <w:color w:val="000000" w:themeColor="text1"/>
          <w:sz w:val="32"/>
          <w:szCs w:val="32"/>
          <w14:textFill>
            <w14:solidFill>
              <w14:schemeClr w14:val="tx1"/>
            </w14:solidFill>
          </w14:textFill>
        </w:rPr>
        <w:t>（3）积极动员开展秸秆肥料化、饲料化、燃料化、基料化、原料化利用，变废为宝，提高秸秆综合利用率。</w:t>
      </w:r>
      <w:bookmarkStart w:id="45" w:name="_Toc12325"/>
    </w:p>
    <w:p w14:paraId="395FE53F">
      <w:pPr>
        <w:pStyle w:val="3"/>
        <w:numPr>
          <w:ilvl w:val="1"/>
          <w:numId w:val="0"/>
        </w:numPr>
        <w:ind w:firstLine="643" w:firstLineChars="200"/>
        <w:rPr>
          <w:rFonts w:ascii="楷体" w:hAnsi="楷体" w:eastAsia="楷体" w:cs="楷体"/>
          <w:color w:val="000000" w:themeColor="text1"/>
          <w:sz w:val="32"/>
          <w14:textFill>
            <w14:solidFill>
              <w14:schemeClr w14:val="tx1"/>
            </w14:solidFill>
          </w14:textFill>
        </w:rPr>
      </w:pPr>
      <w:bookmarkStart w:id="46" w:name="_Toc174515773"/>
      <w:r>
        <w:rPr>
          <w:rFonts w:hint="eastAsia" w:ascii="楷体" w:hAnsi="楷体" w:eastAsia="楷体" w:cs="楷体"/>
          <w:color w:val="000000" w:themeColor="text1"/>
          <w:sz w:val="32"/>
          <w14:textFill>
            <w14:solidFill>
              <w14:schemeClr w14:val="tx1"/>
            </w14:solidFill>
          </w14:textFill>
        </w:rPr>
        <w:t>5.5组织领导</w:t>
      </w:r>
      <w:bookmarkEnd w:id="45"/>
      <w:bookmarkEnd w:id="46"/>
    </w:p>
    <w:p w14:paraId="4E66AABE">
      <w:pPr>
        <w:ind w:firstLine="640"/>
        <w:rPr>
          <w:color w:val="000000" w:themeColor="text1"/>
          <w:szCs w:val="28"/>
          <w14:textFill>
            <w14:solidFill>
              <w14:schemeClr w14:val="tx1"/>
            </w14:solidFill>
          </w14:textFill>
        </w:rPr>
      </w:pPr>
      <w:r>
        <w:rPr>
          <w:rFonts w:hint="eastAsia" w:ascii="仿宋" w:hAnsi="仿宋" w:eastAsia="仿宋" w:cs="仿宋"/>
          <w:color w:val="000000" w:themeColor="text1"/>
          <w:sz w:val="32"/>
          <w:szCs w:val="32"/>
          <w14:textFill>
            <w14:solidFill>
              <w14:schemeClr w14:val="tx1"/>
            </w14:solidFill>
          </w14:textFill>
        </w:rPr>
        <w:t>成立由县分管领导任组长，县农业农村局、市生态环境局城步分局、县财政局、县林业局、县文广新局、国家电网城步分公司、县气象局、县交通局、高速公路邵阳分公司城步管理所、县自然资源局、各乡镇（街道）等单位负责人为副组长，相关单位分管领导为成员的秸秆禁烧区及限烧区划定工作领导小组，领导小组办公室设县农业农村局资源保护与利用股。各单位根据职能职责，配合协助秸秆禁烧区及限烧区划定工作。</w:t>
      </w:r>
    </w:p>
    <w:p w14:paraId="1C0F5BAF">
      <w:pPr>
        <w:pStyle w:val="3"/>
        <w:numPr>
          <w:ilvl w:val="1"/>
          <w:numId w:val="0"/>
        </w:numPr>
        <w:ind w:firstLine="643" w:firstLineChars="200"/>
        <w:rPr>
          <w:rFonts w:ascii="楷体" w:hAnsi="楷体" w:eastAsia="楷体" w:cs="楷体"/>
          <w:color w:val="000000" w:themeColor="text1"/>
          <w:sz w:val="32"/>
          <w14:textFill>
            <w14:solidFill>
              <w14:schemeClr w14:val="tx1"/>
            </w14:solidFill>
          </w14:textFill>
        </w:rPr>
      </w:pPr>
      <w:bookmarkStart w:id="47" w:name="_Toc174515774"/>
      <w:r>
        <w:rPr>
          <w:rFonts w:hint="eastAsia" w:ascii="楷体" w:hAnsi="楷体" w:eastAsia="楷体" w:cs="楷体"/>
          <w:color w:val="000000" w:themeColor="text1"/>
          <w:sz w:val="32"/>
          <w14:textFill>
            <w14:solidFill>
              <w14:schemeClr w14:val="tx1"/>
            </w14:solidFill>
          </w14:textFill>
        </w:rPr>
        <w:t>5.6禁烧区管理规定</w:t>
      </w:r>
      <w:bookmarkEnd w:id="47"/>
    </w:p>
    <w:p w14:paraId="6CCC52D7">
      <w:pPr>
        <w:ind w:firstLine="640"/>
        <w:rPr>
          <w:rFonts w:ascii="仿宋" w:hAnsi="仿宋" w:eastAsia="仿宋" w:cs="仿宋"/>
          <w:color w:val="000000" w:themeColor="text1"/>
          <w:sz w:val="32"/>
          <w:szCs w:val="32"/>
          <w14:textFill>
            <w14:solidFill>
              <w14:schemeClr w14:val="tx1"/>
            </w14:solidFill>
          </w14:textFill>
        </w:rPr>
      </w:pPr>
      <w:r>
        <w:rPr>
          <w:rFonts w:hint="eastAsia" w:ascii="仿宋" w:hAnsi="仿宋" w:eastAsia="仿宋" w:cs="仿宋"/>
          <w:color w:val="000000" w:themeColor="text1"/>
          <w:sz w:val="32"/>
          <w:szCs w:val="32"/>
          <w14:textFill>
            <w14:solidFill>
              <w14:schemeClr w14:val="tx1"/>
            </w14:solidFill>
          </w14:textFill>
        </w:rPr>
        <w:t>5.5.1违反本方案规定，在秸秆禁烧范围内或在限烧区禁烧时段露天焚烧秸秆的行为，依据《中华人民共和国大气污染防治法》第一百一十九条和《邵阳市清洁卫生条例》第十九条第五款规定，露天焚烧秸秆、落叶的，由县级以上人民政府生态环境主管部门责令停止违法行为，可以并处五百元以上二千元以下的罚款。</w:t>
      </w:r>
      <w:bookmarkEnd w:id="33"/>
      <w:bookmarkEnd w:id="43"/>
      <w:bookmarkEnd w:id="44"/>
    </w:p>
    <w:p w14:paraId="7C3C15B9">
      <w:pPr>
        <w:ind w:firstLine="640"/>
        <w:rPr>
          <w:rFonts w:ascii="仿宋" w:hAnsi="仿宋" w:eastAsia="仿宋" w:cs="仿宋"/>
          <w:color w:val="000000" w:themeColor="text1"/>
          <w:sz w:val="32"/>
          <w:szCs w:val="32"/>
          <w14:textFill>
            <w14:solidFill>
              <w14:schemeClr w14:val="tx1"/>
            </w14:solidFill>
          </w14:textFill>
        </w:rPr>
      </w:pPr>
      <w:r>
        <w:rPr>
          <w:rFonts w:hint="eastAsia" w:ascii="仿宋" w:hAnsi="仿宋" w:eastAsia="仿宋" w:cs="仿宋"/>
          <w:color w:val="000000" w:themeColor="text1"/>
          <w:sz w:val="32"/>
          <w:szCs w:val="32"/>
          <w14:textFill>
            <w14:solidFill>
              <w14:schemeClr w14:val="tx1"/>
            </w14:solidFill>
          </w14:textFill>
        </w:rPr>
        <w:t>5.5.2根据《湖南省人民政府办公厅关于印发〈湖南省乡镇权力清单和责任清单和湖南省赋予乡镇（街道）经济社会管理权限指导目录〉的通知》（湘政办发〔2019〕59号）和《关于进一步落实农村生活垃圾和生活污水治理及对辖区内秸秆、垃圾等生物质焚烧的监管执法工作赋权的通知》（邵市生环字〔2022〕35号）等文件精神，乡镇（街道、管理区）对辖区内秸秆焚烧承担监管执法责任。</w:t>
      </w:r>
    </w:p>
    <w:p w14:paraId="7EF425B6">
      <w:pPr>
        <w:ind w:firstLine="640"/>
        <w:rPr>
          <w:rFonts w:ascii="仿宋" w:hAnsi="仿宋" w:eastAsia="仿宋" w:cs="仿宋"/>
          <w:color w:val="000000" w:themeColor="text1"/>
          <w:sz w:val="32"/>
          <w:szCs w:val="32"/>
          <w14:textFill>
            <w14:solidFill>
              <w14:schemeClr w14:val="tx1"/>
            </w14:solidFill>
          </w14:textFill>
        </w:rPr>
      </w:pPr>
      <w:r>
        <w:rPr>
          <w:rFonts w:hint="eastAsia" w:ascii="仿宋" w:hAnsi="仿宋" w:eastAsia="仿宋" w:cs="仿宋"/>
          <w:color w:val="000000" w:themeColor="text1"/>
          <w:sz w:val="32"/>
          <w:szCs w:val="32"/>
          <w14:textFill>
            <w14:solidFill>
              <w14:schemeClr w14:val="tx1"/>
            </w14:solidFill>
          </w14:textFill>
        </w:rPr>
        <w:t>5.5.3秸秆禁烧工作督查考核秸秆禁烧是保护大气环境的重要举措，属于“六零创建”中“零污染”重要内容，将12个乡镇（街道）和8个林场（农场、园艺场）的秸秆禁烧工作纳入“六零创建”中“零污染”考核指标内容（按六零创建考核办考核细节执行）。</w:t>
      </w:r>
    </w:p>
    <w:p w14:paraId="5D6D97B4">
      <w:pPr>
        <w:ind w:firstLine="640"/>
        <w:rPr>
          <w:rFonts w:ascii="仿宋" w:hAnsi="仿宋" w:eastAsia="仿宋" w:cs="仿宋"/>
          <w:color w:val="000000" w:themeColor="text1"/>
          <w:sz w:val="32"/>
          <w:szCs w:val="32"/>
          <w14:textFill>
            <w14:solidFill>
              <w14:schemeClr w14:val="tx1"/>
            </w14:solidFill>
          </w14:textFill>
        </w:rPr>
      </w:pPr>
      <w:r>
        <w:rPr>
          <w:rFonts w:hint="eastAsia" w:ascii="仿宋" w:hAnsi="仿宋" w:eastAsia="仿宋" w:cs="仿宋"/>
          <w:color w:val="000000" w:themeColor="text1"/>
          <w:sz w:val="32"/>
          <w:szCs w:val="32"/>
          <w14:textFill>
            <w14:solidFill>
              <w14:schemeClr w14:val="tx1"/>
            </w14:solidFill>
          </w14:textFill>
        </w:rPr>
        <w:t>5.5.4强化秸秆禁烧工作督查考核和日常巡查。由城步县农业农村局牵头，制定专门方案，抽调市生态环境局城步分局、城步县公安局、城步县林业局和城步县城管局等配合督导单位人员，对24个乡镇（街道、管理区）秸秆禁烧工作开展督查考核，并在秸秆焚烧高发期和高发区域进行日常巡查，及时通报督查考核和日常巡查情况。</w:t>
      </w:r>
    </w:p>
    <w:p w14:paraId="28377F6A">
      <w:pPr>
        <w:ind w:firstLine="640"/>
        <w:rPr>
          <w:rFonts w:ascii="仿宋" w:hAnsi="仿宋" w:eastAsia="仿宋" w:cs="仿宋"/>
          <w:color w:val="000000" w:themeColor="text1"/>
          <w:sz w:val="32"/>
          <w:szCs w:val="32"/>
          <w14:textFill>
            <w14:solidFill>
              <w14:schemeClr w14:val="tx1"/>
            </w14:solidFill>
          </w14:textFill>
        </w:rPr>
      </w:pPr>
      <w:r>
        <w:rPr>
          <w:rFonts w:hint="eastAsia" w:ascii="仿宋" w:hAnsi="仿宋" w:eastAsia="仿宋" w:cs="仿宋"/>
          <w:color w:val="000000" w:themeColor="text1"/>
          <w:sz w:val="32"/>
          <w:szCs w:val="32"/>
          <w14:textFill>
            <w14:solidFill>
              <w14:schemeClr w14:val="tx1"/>
            </w14:solidFill>
          </w14:textFill>
        </w:rPr>
        <w:t>5.5.5秸秆禁烧工作奖惩制度以铁塔哨兵视频监测仪、环境卫生监测仪等设备监测和督导考核、日常巡查所发现以及群众举报的火点数结果，对12个乡镇（街道）和8个林场（农场、园艺场）按每个火点0.5万元的标准由县财政局进行资金扣缴。扣缴资金主要用于奖励（具体以奖励方案执行）。</w:t>
      </w:r>
    </w:p>
    <w:p w14:paraId="0C6487B6">
      <w:pPr>
        <w:ind w:firstLine="640"/>
        <w:rPr>
          <w:color w:val="000000" w:themeColor="text1"/>
          <w:sz w:val="24"/>
          <w14:textFill>
            <w14:solidFill>
              <w14:schemeClr w14:val="tx1"/>
            </w14:solidFill>
          </w14:textFill>
        </w:rPr>
      </w:pPr>
      <w:r>
        <w:rPr>
          <w:rFonts w:hint="eastAsia" w:ascii="仿宋" w:hAnsi="仿宋" w:eastAsia="仿宋" w:cs="仿宋"/>
          <w:color w:val="000000" w:themeColor="text1"/>
          <w:sz w:val="32"/>
          <w:szCs w:val="32"/>
          <w14:textFill>
            <w14:solidFill>
              <w14:schemeClr w14:val="tx1"/>
            </w14:solidFill>
          </w14:textFill>
        </w:rPr>
        <w:t>本方案自公布之日起执行。</w:t>
      </w:r>
    </w:p>
    <w:sectPr>
      <w:headerReference r:id="rId13" w:type="default"/>
      <w:footerReference r:id="rId14" w:type="default"/>
      <w:pgSz w:w="11906" w:h="16838"/>
      <w:pgMar w:top="1803" w:right="1440" w:bottom="1803" w:left="1440" w:header="851" w:footer="992" w:gutter="0"/>
      <w:cols w:space="0" w:num="1"/>
      <w:docGrid w:type="lines" w:linePitch="387"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ind w:firstLine="560"/>
      </w:pPr>
      <w:r>
        <w:separator/>
      </w:r>
    </w:p>
  </w:endnote>
  <w:endnote w:type="continuationSeparator" w:id="1">
    <w:p>
      <w:pPr>
        <w:spacing w:line="240" w:lineRule="auto"/>
        <w:ind w:firstLine="56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等线 Light">
    <w:altName w:val="宋体"/>
    <w:panose1 w:val="02010600030101010101"/>
    <w:charset w:val="86"/>
    <w:family w:val="auto"/>
    <w:pitch w:val="default"/>
    <w:sig w:usb0="00000000" w:usb1="00000000" w:usb2="00000016" w:usb3="00000000" w:csb0="0004000F" w:csb1="00000000"/>
  </w:font>
  <w:font w:name="方正小标宋简体">
    <w:altName w:val="黑体"/>
    <w:panose1 w:val="00000000000000000000"/>
    <w:charset w:val="86"/>
    <w:family w:val="auto"/>
    <w:pitch w:val="default"/>
    <w:sig w:usb0="00000000" w:usb1="00000000" w:usb2="00000010" w:usb3="00000000" w:csb0="00040000" w:csb1="00000000"/>
  </w:font>
  <w:font w:name="方正隶书简体">
    <w:altName w:val="宋体"/>
    <w:panose1 w:val="00000000000000000000"/>
    <w:charset w:val="86"/>
    <w:family w:val="auto"/>
    <w:pitch w:val="default"/>
    <w:sig w:usb0="00000000" w:usb1="00000000" w:usb2="00000010" w:usb3="00000000" w:csb0="00040000" w:csb1="00000000"/>
  </w:font>
  <w:font w:name="方正仿宋_GBK">
    <w:altName w:val="微软雅黑"/>
    <w:panose1 w:val="00000000000000000000"/>
    <w:charset w:val="86"/>
    <w:family w:val="auto"/>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楷体_GB2312">
    <w:altName w:val="楷体"/>
    <w:panose1 w:val="00000000000000000000"/>
    <w:charset w:val="86"/>
    <w:family w:val="modern"/>
    <w:pitch w:val="default"/>
    <w:sig w:usb0="00000000" w:usb1="00000000" w:usb2="00000000" w:usb3="00000000" w:csb0="00040000" w:csb1="00000000"/>
  </w:font>
  <w:font w:name="楷体">
    <w:panose1 w:val="02010609060101010101"/>
    <w:charset w:val="86"/>
    <w:family w:val="modern"/>
    <w:pitch w:val="default"/>
    <w:sig w:usb0="800002BF" w:usb1="38CF7CFA" w:usb2="00000016" w:usb3="00000000" w:csb0="00040001" w:csb1="00000000"/>
  </w:font>
  <w:font w:name="微软雅黑">
    <w:panose1 w:val="020B0503020204020204"/>
    <w:charset w:val="86"/>
    <w:family w:val="auto"/>
    <w:pitch w:val="default"/>
    <w:sig w:usb0="80000287" w:usb1="280F3C52"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E2297A4">
    <w:pPr>
      <w:pStyle w:val="9"/>
      <w:ind w:firstLine="360"/>
      <w:jc w:val="center"/>
    </w:pPr>
    <w:r>
      <mc:AlternateContent>
        <mc:Choice Requires="wps">
          <w:drawing>
            <wp:anchor distT="0" distB="0" distL="114300" distR="114300" simplePos="0" relativeHeight="251661312" behindDoc="0" locked="0" layoutInCell="1" allowOverlap="1">
              <wp:simplePos x="0" y="0"/>
              <wp:positionH relativeFrom="margin">
                <wp:align>inside</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E15F0D5">
                          <w:pPr>
                            <w:pStyle w:val="9"/>
                            <w:ind w:firstLine="360"/>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inside;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IzXDnwqAgAAV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CLNmWdjqneUROirm&#10;7eoYIGCnaxSlV2LQCtPWdWZ4GXGc/9x3UY9/g+Vv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">
              <v:fill on="f" focussize="0,0"/>
              <v:stroke on="f" weight="0.5pt"/>
              <v:imagedata o:title=""/>
              <o:lock v:ext="edit" aspectratio="f"/>
              <v:textbox inset="0mm,0mm,0mm,0mm" style="mso-fit-shape-to-text:t;">
                <w:txbxContent>
                  <w:p w14:paraId="4E15F0D5">
                    <w:pPr>
                      <w:pStyle w:val="9"/>
                      <w:ind w:firstLine="360"/>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FAC6037">
    <w:pPr>
      <w:pStyle w:val="9"/>
      <w:ind w:firstLine="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8A790CD">
    <w:pPr>
      <w:pStyle w:val="9"/>
      <w:ind w:firstLine="360"/>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861248000"/>
      <w:docPartObj>
        <w:docPartGallery w:val="autotext"/>
      </w:docPartObj>
    </w:sdtPr>
    <w:sdtContent>
      <w:p w14:paraId="7D16BD2C">
        <w:pPr>
          <w:pStyle w:val="9"/>
          <w:ind w:firstLine="360"/>
          <w:jc w:val="center"/>
        </w:pPr>
        <w:r>
          <w:fldChar w:fldCharType="begin"/>
        </w:r>
        <w:r>
          <w:instrText xml:space="preserve">PAGE   \* MERGEFORMAT</w:instrText>
        </w:r>
        <w:r>
          <w:fldChar w:fldCharType="separate"/>
        </w:r>
        <w:r>
          <w:rPr>
            <w:lang w:val="zh-CN"/>
          </w:rPr>
          <w:t>7</w:t>
        </w:r>
        <w:r>
          <w:fldChar w:fldCharType="end"/>
        </w:r>
      </w:p>
    </w:sdtContent>
  </w:sdt>
  <w:p w14:paraId="4F51657A">
    <w:pPr>
      <w:pStyle w:val="9"/>
      <w:ind w:firstLine="360"/>
      <w:jc w:val="cente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69902EC">
    <w:pPr>
      <w:pStyle w:val="9"/>
      <w:ind w:firstLine="360"/>
      <w:jc w:val="center"/>
    </w:pPr>
    <w:r>
      <mc:AlternateContent>
        <mc:Choice Requires="wps">
          <w:drawing>
            <wp:anchor distT="0" distB="0" distL="114300" distR="114300" simplePos="0" relativeHeight="251659264" behindDoc="0" locked="0" layoutInCell="1" allowOverlap="1">
              <wp:simplePos x="0" y="0"/>
              <wp:positionH relativeFrom="margin">
                <wp:align>inside</wp:align>
              </wp:positionH>
              <wp:positionV relativeFrom="paragraph">
                <wp:posOffset>0</wp:posOffset>
              </wp:positionV>
              <wp:extent cx="1828800" cy="1828800"/>
              <wp:effectExtent l="0" t="0" r="0" b="0"/>
              <wp:wrapNone/>
              <wp:docPr id="14" name="文本框 1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3BE0947">
                          <w:pPr>
                            <w:pStyle w:val="9"/>
                            <w:ind w:firstLine="360"/>
                            <w:jc w:val="center"/>
                          </w:pPr>
                          <w:r>
                            <w:fldChar w:fldCharType="begin"/>
                          </w:r>
                          <w:r>
                            <w:instrText xml:space="preserve">PAGE   \* MERGEFORMAT</w:instrText>
                          </w:r>
                          <w:r>
                            <w:fldChar w:fldCharType="separate"/>
                          </w:r>
                          <w:r>
                            <w:rPr>
                              <w:lang w:val="zh-CN"/>
                            </w:rPr>
                            <w:t>10</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inside;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">
              <v:fill on="f" focussize="0,0"/>
              <v:stroke on="f" weight="0.5pt"/>
              <v:imagedata o:title=""/>
              <o:lock v:ext="edit" aspectratio="f"/>
              <v:textbox inset="0mm,0mm,0mm,0mm" style="mso-fit-shape-to-text:t;">
                <w:txbxContent>
                  <w:p w14:paraId="23BE0947">
                    <w:pPr>
                      <w:pStyle w:val="9"/>
                      <w:ind w:firstLine="360"/>
                      <w:jc w:val="center"/>
                    </w:pPr>
                    <w:r>
                      <w:fldChar w:fldCharType="begin"/>
                    </w:r>
                    <w:r>
                      <w:instrText xml:space="preserve">PAGE   \* MERGEFORMAT</w:instrText>
                    </w:r>
                    <w:r>
                      <w:fldChar w:fldCharType="separate"/>
                    </w:r>
                    <w:r>
                      <w:rPr>
                        <w:lang w:val="zh-CN"/>
                      </w:rPr>
                      <w:t>10</w:t>
                    </w:r>
                    <w:r>
                      <w:fldChar w:fldCharType="end"/>
                    </w:r>
                  </w:p>
                </w:txbxContent>
              </v:textbox>
            </v:shape>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BA07B01">
    <w:pPr>
      <w:pStyle w:val="9"/>
      <w:ind w:firstLine="360"/>
    </w:pPr>
    <w:r>
      <mc:AlternateContent>
        <mc:Choice Requires="wps">
          <w:drawing>
            <wp:anchor distT="0" distB="0" distL="114300" distR="114300" simplePos="0" relativeHeight="251660288" behindDoc="0" locked="0" layoutInCell="1" allowOverlap="1">
              <wp:simplePos x="0" y="0"/>
              <wp:positionH relativeFrom="margin">
                <wp:align>inside</wp:align>
              </wp:positionH>
              <wp:positionV relativeFrom="paragraph">
                <wp:posOffset>0</wp:posOffset>
              </wp:positionV>
              <wp:extent cx="1828800" cy="1828800"/>
              <wp:effectExtent l="0" t="0" r="0" b="0"/>
              <wp:wrapNone/>
              <wp:docPr id="25" name="文本框 2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77CCABB">
                          <w:pPr>
                            <w:pStyle w:val="9"/>
                            <w:ind w:firstLine="360"/>
                          </w:pPr>
                          <w:r>
                            <w:fldChar w:fldCharType="begin"/>
                          </w:r>
                          <w:r>
                            <w:instrText xml:space="preserve"> PAGE  \* MERGEFORMAT </w:instrText>
                          </w:r>
                          <w:r>
                            <w:fldChar w:fldCharType="separate"/>
                          </w:r>
                          <w:r>
                            <w:t>21</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inside;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">
              <v:fill on="f" focussize="0,0"/>
              <v:stroke on="f" weight="0.5pt"/>
              <v:imagedata o:title=""/>
              <o:lock v:ext="edit" aspectratio="f"/>
              <v:textbox inset="0mm,0mm,0mm,0mm" style="mso-fit-shape-to-text:t;">
                <w:txbxContent>
                  <w:p w14:paraId="777CCABB">
                    <w:pPr>
                      <w:pStyle w:val="9"/>
                      <w:ind w:firstLine="360"/>
                    </w:pPr>
                    <w:r>
                      <w:fldChar w:fldCharType="begin"/>
                    </w:r>
                    <w:r>
                      <w:instrText xml:space="preserve"> PAGE  \* MERGEFORMAT </w:instrText>
                    </w:r>
                    <w:r>
                      <w:fldChar w:fldCharType="separate"/>
                    </w:r>
                    <w:r>
                      <w:t>21</w:t>
                    </w:r>
                    <w:r>
                      <w:fldChar w:fldCharType="end"/>
                    </w:r>
                  </w:p>
                </w:txbxContent>
              </v:textbox>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360" w:lineRule="auto"/>
        <w:ind w:firstLine="560"/>
      </w:pPr>
      <w:r>
        <w:separator/>
      </w:r>
    </w:p>
  </w:footnote>
  <w:footnote w:type="continuationSeparator" w:id="1">
    <w:p>
      <w:pPr>
        <w:spacing w:line="360" w:lineRule="auto"/>
        <w:ind w:firstLine="560"/>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E033FE2">
    <w:pPr>
      <w:ind w:firstLineChars="0"/>
      <w:rPr>
        <w:sz w:val="18"/>
        <w:szCs w:val="18"/>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68E86A8">
    <w:pPr>
      <w:pStyle w:val="10"/>
      <w:ind w:firstLine="360"/>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740C083">
    <w:pPr>
      <w:pStyle w:val="10"/>
      <w:ind w:firstLine="360"/>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1E28FCB">
    <w:pPr>
      <w:ind w:firstLineChars="0"/>
      <w:rPr>
        <w:sz w:val="18"/>
        <w:szCs w:val="18"/>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6164098C"/>
    <w:multiLevelType w:val="multilevel"/>
    <w:tmpl w:val="6164098C"/>
    <w:lvl w:ilvl="0" w:tentative="0">
      <w:start w:val="1"/>
      <w:numFmt w:val="decimal"/>
      <w:pStyle w:val="2"/>
      <w:suff w:val="space"/>
      <w:lvlText w:val="第%1章"/>
      <w:lvlJc w:val="center"/>
      <w:pPr>
        <w:ind w:left="0" w:firstLine="0"/>
      </w:pPr>
      <w:rPr>
        <w:rFonts w:hint="eastAsia"/>
      </w:rPr>
    </w:lvl>
    <w:lvl w:ilvl="1" w:tentative="0">
      <w:start w:val="1"/>
      <w:numFmt w:val="decimal"/>
      <w:pStyle w:val="3"/>
      <w:suff w:val="space"/>
      <w:lvlText w:val="%1.%2"/>
      <w:lvlJc w:val="left"/>
      <w:pPr>
        <w:ind w:left="0" w:firstLine="0"/>
      </w:pPr>
      <w:rPr>
        <w:rFonts w:hint="eastAsia"/>
      </w:rPr>
    </w:lvl>
    <w:lvl w:ilvl="2" w:tentative="0">
      <w:start w:val="1"/>
      <w:numFmt w:val="decimal"/>
      <w:pStyle w:val="4"/>
      <w:suff w:val="space"/>
      <w:lvlText w:val="%1.%2.%3"/>
      <w:lvlJc w:val="left"/>
      <w:pPr>
        <w:ind w:left="0" w:firstLine="0"/>
      </w:pPr>
      <w:rPr>
        <w:rFonts w:hint="eastAsia"/>
      </w:rPr>
    </w:lvl>
    <w:lvl w:ilvl="3" w:tentative="0">
      <w:start w:val="1"/>
      <w:numFmt w:val="decimal"/>
      <w:lvlText w:val="%1.%2.%3.%4"/>
      <w:lvlJc w:val="left"/>
      <w:pPr>
        <w:ind w:left="1984" w:hanging="708"/>
      </w:pPr>
      <w:rPr>
        <w:rFonts w:hint="eastAsia"/>
      </w:rPr>
    </w:lvl>
    <w:lvl w:ilvl="4" w:tentative="0">
      <w:start w:val="1"/>
      <w:numFmt w:val="decimal"/>
      <w:lvlText w:val="%1.%2.%3.%4.%5"/>
      <w:lvlJc w:val="left"/>
      <w:pPr>
        <w:ind w:left="2551" w:hanging="850"/>
      </w:pPr>
      <w:rPr>
        <w:rFonts w:hint="eastAsia"/>
      </w:rPr>
    </w:lvl>
    <w:lvl w:ilvl="5" w:tentative="0">
      <w:start w:val="1"/>
      <w:numFmt w:val="decimal"/>
      <w:lvlText w:val="%1.%2.%3.%4.%5.%6"/>
      <w:lvlJc w:val="left"/>
      <w:pPr>
        <w:ind w:left="3260" w:hanging="1134"/>
      </w:pPr>
      <w:rPr>
        <w:rFonts w:hint="eastAsia"/>
      </w:rPr>
    </w:lvl>
    <w:lvl w:ilvl="6" w:tentative="0">
      <w:start w:val="1"/>
      <w:numFmt w:val="decimal"/>
      <w:lvlText w:val="%1.%2.%3.%4.%5.%6.%7"/>
      <w:lvlJc w:val="left"/>
      <w:pPr>
        <w:ind w:left="3827" w:hanging="1276"/>
      </w:pPr>
      <w:rPr>
        <w:rFonts w:hint="eastAsia"/>
      </w:rPr>
    </w:lvl>
    <w:lvl w:ilvl="7" w:tentative="0">
      <w:start w:val="1"/>
      <w:numFmt w:val="decimal"/>
      <w:lvlText w:val="%1.%2.%3.%4.%5.%6.%7.%8"/>
      <w:lvlJc w:val="left"/>
      <w:pPr>
        <w:ind w:left="4394" w:hanging="1418"/>
      </w:pPr>
      <w:rPr>
        <w:rFonts w:hint="eastAsia"/>
      </w:rPr>
    </w:lvl>
    <w:lvl w:ilvl="8" w:tentative="0">
      <w:start w:val="1"/>
      <w:numFmt w:val="decimal"/>
      <w:lvlText w:val="%1.%2.%3.%4.%5.%6.%7.%8.%9"/>
      <w:lvlJc w:val="left"/>
      <w:pPr>
        <w:ind w:left="5102" w:hanging="1700"/>
      </w:pPr>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94"/>
  <w:noPunctuationKerning w:val="1"/>
  <w:characterSpacingControl w:val="compressPunctuation"/>
  <w:footnotePr>
    <w:footnote w:id="0"/>
    <w:footnote w:id="1"/>
  </w:footnotePr>
  <w:endnotePr>
    <w:endnote w:id="0"/>
    <w:endnote w:id="1"/>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YjM5Y2JjM2NiMDI1ZWIzYWYwNDNkNTY5Zjk0OTBkYTcifQ=="/>
    <w:docVar w:name="KSO_WPS_MARK_KEY" w:val="5ece6903-9fe9-4747-9788-c047b21a976a"/>
  </w:docVars>
  <w:rsids>
    <w:rsidRoot w:val="2A8B4D8B"/>
    <w:rsid w:val="00037213"/>
    <w:rsid w:val="0005079D"/>
    <w:rsid w:val="000B451F"/>
    <w:rsid w:val="00107E67"/>
    <w:rsid w:val="0018476F"/>
    <w:rsid w:val="00251828"/>
    <w:rsid w:val="00294E2A"/>
    <w:rsid w:val="002B4DCC"/>
    <w:rsid w:val="00377727"/>
    <w:rsid w:val="00395D8F"/>
    <w:rsid w:val="0055702F"/>
    <w:rsid w:val="00585331"/>
    <w:rsid w:val="005B4515"/>
    <w:rsid w:val="00681D20"/>
    <w:rsid w:val="00700CAC"/>
    <w:rsid w:val="007551BC"/>
    <w:rsid w:val="00781A94"/>
    <w:rsid w:val="00842B21"/>
    <w:rsid w:val="00886F66"/>
    <w:rsid w:val="008B131F"/>
    <w:rsid w:val="00950691"/>
    <w:rsid w:val="00955229"/>
    <w:rsid w:val="00985561"/>
    <w:rsid w:val="009A1919"/>
    <w:rsid w:val="00A202B9"/>
    <w:rsid w:val="00A55163"/>
    <w:rsid w:val="00B164A0"/>
    <w:rsid w:val="00B57B53"/>
    <w:rsid w:val="00C54231"/>
    <w:rsid w:val="00D3197D"/>
    <w:rsid w:val="00D321F9"/>
    <w:rsid w:val="00D60E9A"/>
    <w:rsid w:val="00DC0990"/>
    <w:rsid w:val="00E13CD1"/>
    <w:rsid w:val="00EE52A5"/>
    <w:rsid w:val="00F03733"/>
    <w:rsid w:val="00F06B41"/>
    <w:rsid w:val="00F67024"/>
    <w:rsid w:val="00FC2360"/>
    <w:rsid w:val="01096E50"/>
    <w:rsid w:val="012407CD"/>
    <w:rsid w:val="02994853"/>
    <w:rsid w:val="0300345C"/>
    <w:rsid w:val="03284ED9"/>
    <w:rsid w:val="03640A07"/>
    <w:rsid w:val="03D167A4"/>
    <w:rsid w:val="03F85470"/>
    <w:rsid w:val="041C7692"/>
    <w:rsid w:val="0443790E"/>
    <w:rsid w:val="045D63EF"/>
    <w:rsid w:val="04CD71F6"/>
    <w:rsid w:val="06DD7E89"/>
    <w:rsid w:val="077943D1"/>
    <w:rsid w:val="07E63A30"/>
    <w:rsid w:val="0859254D"/>
    <w:rsid w:val="08A57899"/>
    <w:rsid w:val="08B276B9"/>
    <w:rsid w:val="092030D8"/>
    <w:rsid w:val="094D181D"/>
    <w:rsid w:val="09AF3894"/>
    <w:rsid w:val="09BA16F2"/>
    <w:rsid w:val="09CD27F9"/>
    <w:rsid w:val="09FF54F2"/>
    <w:rsid w:val="0A56596C"/>
    <w:rsid w:val="0A971895"/>
    <w:rsid w:val="0B3045B0"/>
    <w:rsid w:val="0BB32CFF"/>
    <w:rsid w:val="0C342625"/>
    <w:rsid w:val="0C6048CE"/>
    <w:rsid w:val="0C6C6B61"/>
    <w:rsid w:val="0E663479"/>
    <w:rsid w:val="0E752D2B"/>
    <w:rsid w:val="0ECE51ED"/>
    <w:rsid w:val="0F355424"/>
    <w:rsid w:val="0F356715"/>
    <w:rsid w:val="0F5D7402"/>
    <w:rsid w:val="0FB32491"/>
    <w:rsid w:val="0FC042C5"/>
    <w:rsid w:val="10246478"/>
    <w:rsid w:val="10BC3554"/>
    <w:rsid w:val="10F845FF"/>
    <w:rsid w:val="122322F7"/>
    <w:rsid w:val="123C346F"/>
    <w:rsid w:val="12477360"/>
    <w:rsid w:val="12790517"/>
    <w:rsid w:val="139A2BD4"/>
    <w:rsid w:val="146C7FCC"/>
    <w:rsid w:val="15977F8D"/>
    <w:rsid w:val="162E461F"/>
    <w:rsid w:val="16CF3D89"/>
    <w:rsid w:val="180D7A72"/>
    <w:rsid w:val="181111E6"/>
    <w:rsid w:val="18117DCC"/>
    <w:rsid w:val="1854173B"/>
    <w:rsid w:val="18587D10"/>
    <w:rsid w:val="189866C8"/>
    <w:rsid w:val="199A5C86"/>
    <w:rsid w:val="1A152E33"/>
    <w:rsid w:val="1A6F2B32"/>
    <w:rsid w:val="1B1F2B35"/>
    <w:rsid w:val="1B8E166A"/>
    <w:rsid w:val="1BC10C3C"/>
    <w:rsid w:val="1BC57500"/>
    <w:rsid w:val="1BEE3C6A"/>
    <w:rsid w:val="1C5D6826"/>
    <w:rsid w:val="1CBF5EFF"/>
    <w:rsid w:val="1CD501DC"/>
    <w:rsid w:val="1D694436"/>
    <w:rsid w:val="1E444C3C"/>
    <w:rsid w:val="1E522789"/>
    <w:rsid w:val="1E713794"/>
    <w:rsid w:val="1E7D4433"/>
    <w:rsid w:val="1E8964AD"/>
    <w:rsid w:val="1EBE116C"/>
    <w:rsid w:val="1EBF1604"/>
    <w:rsid w:val="1F0F49C6"/>
    <w:rsid w:val="1F977969"/>
    <w:rsid w:val="1F99228E"/>
    <w:rsid w:val="201D0DE1"/>
    <w:rsid w:val="20381DF6"/>
    <w:rsid w:val="217031E4"/>
    <w:rsid w:val="21816256"/>
    <w:rsid w:val="22BF09C5"/>
    <w:rsid w:val="236D0F29"/>
    <w:rsid w:val="23FF6E0C"/>
    <w:rsid w:val="24427A68"/>
    <w:rsid w:val="24EE6107"/>
    <w:rsid w:val="256B6973"/>
    <w:rsid w:val="25983CF4"/>
    <w:rsid w:val="260441F1"/>
    <w:rsid w:val="27224B8E"/>
    <w:rsid w:val="27254448"/>
    <w:rsid w:val="277C79E6"/>
    <w:rsid w:val="283125A7"/>
    <w:rsid w:val="28424CB0"/>
    <w:rsid w:val="285F5DD7"/>
    <w:rsid w:val="28AE3568"/>
    <w:rsid w:val="28D960C6"/>
    <w:rsid w:val="298A07BF"/>
    <w:rsid w:val="29B26B34"/>
    <w:rsid w:val="29C65D4B"/>
    <w:rsid w:val="29EF22BD"/>
    <w:rsid w:val="2A8B4D8B"/>
    <w:rsid w:val="2B1535B2"/>
    <w:rsid w:val="2B8114FA"/>
    <w:rsid w:val="2B9430BB"/>
    <w:rsid w:val="2B9936F4"/>
    <w:rsid w:val="2BDD5231"/>
    <w:rsid w:val="2BEF1765"/>
    <w:rsid w:val="2BF0036A"/>
    <w:rsid w:val="2C6E07F2"/>
    <w:rsid w:val="2CF24356"/>
    <w:rsid w:val="2CF67060"/>
    <w:rsid w:val="2D111090"/>
    <w:rsid w:val="2D175040"/>
    <w:rsid w:val="2D915768"/>
    <w:rsid w:val="2DF86F33"/>
    <w:rsid w:val="2E176215"/>
    <w:rsid w:val="2E224612"/>
    <w:rsid w:val="2EF315C9"/>
    <w:rsid w:val="2F5437BB"/>
    <w:rsid w:val="2F746C1F"/>
    <w:rsid w:val="2FA80771"/>
    <w:rsid w:val="302925CA"/>
    <w:rsid w:val="30C25EFD"/>
    <w:rsid w:val="3119163E"/>
    <w:rsid w:val="314F68C6"/>
    <w:rsid w:val="31774500"/>
    <w:rsid w:val="319A77F8"/>
    <w:rsid w:val="31D379AE"/>
    <w:rsid w:val="32560D2E"/>
    <w:rsid w:val="32680B86"/>
    <w:rsid w:val="33CA6181"/>
    <w:rsid w:val="33DD68DC"/>
    <w:rsid w:val="342E2E5D"/>
    <w:rsid w:val="34D81B14"/>
    <w:rsid w:val="34F02881"/>
    <w:rsid w:val="35087060"/>
    <w:rsid w:val="352E6270"/>
    <w:rsid w:val="3568769D"/>
    <w:rsid w:val="35B14641"/>
    <w:rsid w:val="36314765"/>
    <w:rsid w:val="365537B1"/>
    <w:rsid w:val="36952D56"/>
    <w:rsid w:val="36D13079"/>
    <w:rsid w:val="37224B2C"/>
    <w:rsid w:val="38C900D1"/>
    <w:rsid w:val="38F5570F"/>
    <w:rsid w:val="39407254"/>
    <w:rsid w:val="394F5D3E"/>
    <w:rsid w:val="39511D45"/>
    <w:rsid w:val="3A3F6A5A"/>
    <w:rsid w:val="3A5C6C2E"/>
    <w:rsid w:val="3AE25667"/>
    <w:rsid w:val="3B0F3D26"/>
    <w:rsid w:val="3C387866"/>
    <w:rsid w:val="3C54432F"/>
    <w:rsid w:val="3E680259"/>
    <w:rsid w:val="3F12324E"/>
    <w:rsid w:val="3F1C5104"/>
    <w:rsid w:val="3F311C9C"/>
    <w:rsid w:val="3FBA4417"/>
    <w:rsid w:val="3FD93636"/>
    <w:rsid w:val="4015438D"/>
    <w:rsid w:val="415E375B"/>
    <w:rsid w:val="41A33DF1"/>
    <w:rsid w:val="424773AD"/>
    <w:rsid w:val="42ED7884"/>
    <w:rsid w:val="432A51FC"/>
    <w:rsid w:val="43452ACB"/>
    <w:rsid w:val="450B1C36"/>
    <w:rsid w:val="45C77517"/>
    <w:rsid w:val="4659095C"/>
    <w:rsid w:val="465E7989"/>
    <w:rsid w:val="46E61F21"/>
    <w:rsid w:val="47263161"/>
    <w:rsid w:val="484C2BB2"/>
    <w:rsid w:val="48A373E2"/>
    <w:rsid w:val="48B766DE"/>
    <w:rsid w:val="492C099F"/>
    <w:rsid w:val="49704FAD"/>
    <w:rsid w:val="4A1A6C3A"/>
    <w:rsid w:val="4A733CD7"/>
    <w:rsid w:val="4AF3340E"/>
    <w:rsid w:val="4AFE1553"/>
    <w:rsid w:val="4C2D1C88"/>
    <w:rsid w:val="4CB12ACB"/>
    <w:rsid w:val="4CDB2E17"/>
    <w:rsid w:val="4D8602C2"/>
    <w:rsid w:val="4D9F2357"/>
    <w:rsid w:val="4EC72A98"/>
    <w:rsid w:val="4ED54026"/>
    <w:rsid w:val="4EDF420C"/>
    <w:rsid w:val="4F2F3BB3"/>
    <w:rsid w:val="4FD15CD8"/>
    <w:rsid w:val="509D6E48"/>
    <w:rsid w:val="50E044EC"/>
    <w:rsid w:val="51D125E0"/>
    <w:rsid w:val="51D64503"/>
    <w:rsid w:val="52782840"/>
    <w:rsid w:val="537A08D7"/>
    <w:rsid w:val="53974D03"/>
    <w:rsid w:val="53FD05DF"/>
    <w:rsid w:val="540718C9"/>
    <w:rsid w:val="540767E3"/>
    <w:rsid w:val="543213BA"/>
    <w:rsid w:val="544208E6"/>
    <w:rsid w:val="54D5446D"/>
    <w:rsid w:val="54F17819"/>
    <w:rsid w:val="54F7775F"/>
    <w:rsid w:val="55321FC7"/>
    <w:rsid w:val="5604354B"/>
    <w:rsid w:val="56536045"/>
    <w:rsid w:val="573B67DC"/>
    <w:rsid w:val="577B0444"/>
    <w:rsid w:val="57897D05"/>
    <w:rsid w:val="58572132"/>
    <w:rsid w:val="592670EB"/>
    <w:rsid w:val="59284BD5"/>
    <w:rsid w:val="5A643D6A"/>
    <w:rsid w:val="5AEB663B"/>
    <w:rsid w:val="5B054EC1"/>
    <w:rsid w:val="5B3A2282"/>
    <w:rsid w:val="5B6D71BD"/>
    <w:rsid w:val="5BA0224A"/>
    <w:rsid w:val="5BB51049"/>
    <w:rsid w:val="5BD21090"/>
    <w:rsid w:val="5BED4C5C"/>
    <w:rsid w:val="5C2970E5"/>
    <w:rsid w:val="5C383811"/>
    <w:rsid w:val="5C872B0C"/>
    <w:rsid w:val="5CB350EF"/>
    <w:rsid w:val="5CCF1E84"/>
    <w:rsid w:val="5D41681F"/>
    <w:rsid w:val="5DBB192F"/>
    <w:rsid w:val="5EB27AB2"/>
    <w:rsid w:val="5EE2793A"/>
    <w:rsid w:val="5EEC0CF4"/>
    <w:rsid w:val="5F0955FB"/>
    <w:rsid w:val="5F7E7450"/>
    <w:rsid w:val="605A490F"/>
    <w:rsid w:val="60DF1078"/>
    <w:rsid w:val="618741B1"/>
    <w:rsid w:val="61D4080E"/>
    <w:rsid w:val="621C0C67"/>
    <w:rsid w:val="631B5CDC"/>
    <w:rsid w:val="64E77440"/>
    <w:rsid w:val="66481C44"/>
    <w:rsid w:val="66C21188"/>
    <w:rsid w:val="66DF6689"/>
    <w:rsid w:val="67454F7E"/>
    <w:rsid w:val="6A303C54"/>
    <w:rsid w:val="6A4A79FB"/>
    <w:rsid w:val="6A6A305B"/>
    <w:rsid w:val="6AFD62FE"/>
    <w:rsid w:val="6B076D6A"/>
    <w:rsid w:val="6B920C93"/>
    <w:rsid w:val="6BE371A6"/>
    <w:rsid w:val="6BFE7BC2"/>
    <w:rsid w:val="6C3513D9"/>
    <w:rsid w:val="6CF40392"/>
    <w:rsid w:val="6D036F40"/>
    <w:rsid w:val="6D19283C"/>
    <w:rsid w:val="6D4D5659"/>
    <w:rsid w:val="6DA07251"/>
    <w:rsid w:val="6E1A6EC3"/>
    <w:rsid w:val="6F071283"/>
    <w:rsid w:val="6F0C5F06"/>
    <w:rsid w:val="6F2E7BD0"/>
    <w:rsid w:val="6F327293"/>
    <w:rsid w:val="6F4C1CB0"/>
    <w:rsid w:val="6F795A7A"/>
    <w:rsid w:val="70775261"/>
    <w:rsid w:val="70846E33"/>
    <w:rsid w:val="710619C7"/>
    <w:rsid w:val="71985C07"/>
    <w:rsid w:val="71BF3CBA"/>
    <w:rsid w:val="71FC2290"/>
    <w:rsid w:val="7301131E"/>
    <w:rsid w:val="730403F4"/>
    <w:rsid w:val="730C2C34"/>
    <w:rsid w:val="73503BE3"/>
    <w:rsid w:val="736201CB"/>
    <w:rsid w:val="73A001D4"/>
    <w:rsid w:val="73EA1D0E"/>
    <w:rsid w:val="751633BA"/>
    <w:rsid w:val="754B053B"/>
    <w:rsid w:val="764B6B47"/>
    <w:rsid w:val="766374B9"/>
    <w:rsid w:val="771F17B5"/>
    <w:rsid w:val="771F5276"/>
    <w:rsid w:val="7812387A"/>
    <w:rsid w:val="78144598"/>
    <w:rsid w:val="785863F2"/>
    <w:rsid w:val="7876419C"/>
    <w:rsid w:val="78AD1071"/>
    <w:rsid w:val="79BF478A"/>
    <w:rsid w:val="7A017F29"/>
    <w:rsid w:val="7A0B49B7"/>
    <w:rsid w:val="7A6A212D"/>
    <w:rsid w:val="7B7517F2"/>
    <w:rsid w:val="7BDE7397"/>
    <w:rsid w:val="7C1F2858"/>
    <w:rsid w:val="7C250C84"/>
    <w:rsid w:val="7CF569D4"/>
    <w:rsid w:val="7D5A376F"/>
    <w:rsid w:val="7DCB691C"/>
    <w:rsid w:val="7DE166D6"/>
    <w:rsid w:val="7DE84EBE"/>
    <w:rsid w:val="7F1B445E"/>
    <w:rsid w:val="7F8E19B5"/>
    <w:rsid w:val="7FC15E7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semiHidden="0" w:name="heading 2"/>
    <w:lsdException w:qFormat="1"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39" w:semiHidden="0" w:name="toc 1"/>
    <w:lsdException w:qFormat="1" w:unhideWhenUsed="0" w:uiPriority="39"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qFormat="1" w:unhideWhenUsed="0" w:uiPriority="0" w:semiHidden="0" w:name="annotation text"/>
    <w:lsdException w:qFormat="1" w:unhideWhenUsed="0" w:uiPriority="99"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qFormat="1"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iPriority="1" w:name="Default Paragraph Font"/>
    <w:lsdException w:qFormat="1" w:unhideWhenUsed="0" w:uiPriority="1" w:semiHidden="0" w:name="Body Text"/>
    <w:lsdException w:qFormat="1" w:unhideWhenUsed="0" w:uiPriority="99"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qFormat="1" w:unhideWhenUsed="0" w:uiPriority="99"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99"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qFormat="1"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spacing w:line="360" w:lineRule="auto"/>
      <w:ind w:firstLine="200" w:firstLineChars="200"/>
      <w:jc w:val="both"/>
    </w:pPr>
    <w:rPr>
      <w:rFonts w:ascii="Times New Roman" w:hAnsi="Times New Roman" w:eastAsia="宋体" w:cs="Times New Roman"/>
      <w:kern w:val="2"/>
      <w:sz w:val="28"/>
      <w:szCs w:val="24"/>
      <w:lang w:val="en-US" w:eastAsia="zh-CN" w:bidi="ar-SA"/>
    </w:rPr>
  </w:style>
  <w:style w:type="paragraph" w:styleId="2">
    <w:name w:val="heading 1"/>
    <w:basedOn w:val="1"/>
    <w:next w:val="1"/>
    <w:qFormat/>
    <w:uiPriority w:val="0"/>
    <w:pPr>
      <w:keepNext/>
      <w:keepLines/>
      <w:numPr>
        <w:ilvl w:val="0"/>
        <w:numId w:val="1"/>
      </w:numPr>
      <w:spacing w:before="340" w:after="330" w:line="578" w:lineRule="auto"/>
      <w:ind w:firstLineChars="0"/>
      <w:jc w:val="center"/>
      <w:outlineLvl w:val="0"/>
    </w:pPr>
    <w:rPr>
      <w:b/>
      <w:bCs/>
      <w:kern w:val="44"/>
      <w:sz w:val="32"/>
      <w:szCs w:val="44"/>
    </w:rPr>
  </w:style>
  <w:style w:type="paragraph" w:styleId="3">
    <w:name w:val="heading 2"/>
    <w:basedOn w:val="1"/>
    <w:next w:val="1"/>
    <w:unhideWhenUsed/>
    <w:qFormat/>
    <w:uiPriority w:val="0"/>
    <w:pPr>
      <w:keepNext/>
      <w:keepLines/>
      <w:numPr>
        <w:ilvl w:val="1"/>
        <w:numId w:val="1"/>
      </w:numPr>
      <w:ind w:firstLineChars="0"/>
      <w:jc w:val="left"/>
      <w:outlineLvl w:val="1"/>
    </w:pPr>
    <w:rPr>
      <w:rFonts w:ascii="等线 Light" w:hAnsi="等线 Light"/>
      <w:b/>
      <w:bCs/>
      <w:sz w:val="24"/>
      <w:szCs w:val="32"/>
    </w:rPr>
  </w:style>
  <w:style w:type="paragraph" w:styleId="4">
    <w:name w:val="heading 3"/>
    <w:basedOn w:val="1"/>
    <w:next w:val="1"/>
    <w:unhideWhenUsed/>
    <w:qFormat/>
    <w:uiPriority w:val="0"/>
    <w:pPr>
      <w:keepNext/>
      <w:keepLines/>
      <w:numPr>
        <w:ilvl w:val="2"/>
        <w:numId w:val="1"/>
      </w:numPr>
      <w:ind w:firstLineChars="0"/>
      <w:outlineLvl w:val="2"/>
    </w:pPr>
    <w:rPr>
      <w:b/>
      <w:bCs/>
      <w:sz w:val="24"/>
      <w:szCs w:val="32"/>
    </w:rPr>
  </w:style>
  <w:style w:type="character" w:default="1" w:styleId="15">
    <w:name w:val="Default Paragraph Font"/>
    <w:semiHidden/>
    <w:unhideWhenUsed/>
    <w:uiPriority w:val="1"/>
  </w:style>
  <w:style w:type="table" w:default="1" w:styleId="13">
    <w:name w:val="Normal Table"/>
    <w:semiHidden/>
    <w:unhideWhenUsed/>
    <w:qFormat/>
    <w:uiPriority w:val="99"/>
    <w:tblPr>
      <w:tblCellMar>
        <w:top w:w="0" w:type="dxa"/>
        <w:left w:w="108" w:type="dxa"/>
        <w:bottom w:w="0" w:type="dxa"/>
        <w:right w:w="108" w:type="dxa"/>
      </w:tblCellMar>
    </w:tblPr>
  </w:style>
  <w:style w:type="paragraph" w:styleId="5">
    <w:name w:val="Normal Indent"/>
    <w:basedOn w:val="1"/>
    <w:next w:val="1"/>
    <w:qFormat/>
    <w:uiPriority w:val="0"/>
    <w:pPr>
      <w:ind w:firstLine="420"/>
    </w:pPr>
  </w:style>
  <w:style w:type="paragraph" w:styleId="6">
    <w:name w:val="toa heading"/>
    <w:basedOn w:val="1"/>
    <w:next w:val="1"/>
    <w:qFormat/>
    <w:uiPriority w:val="0"/>
    <w:pPr>
      <w:spacing w:before="120"/>
    </w:pPr>
    <w:rPr>
      <w:rFonts w:ascii="Arial" w:hAnsi="Arial"/>
      <w:sz w:val="24"/>
    </w:rPr>
  </w:style>
  <w:style w:type="paragraph" w:styleId="7">
    <w:name w:val="annotation text"/>
    <w:basedOn w:val="1"/>
    <w:qFormat/>
    <w:uiPriority w:val="0"/>
    <w:pPr>
      <w:jc w:val="left"/>
    </w:pPr>
  </w:style>
  <w:style w:type="paragraph" w:styleId="8">
    <w:name w:val="Body Text"/>
    <w:basedOn w:val="1"/>
    <w:qFormat/>
    <w:uiPriority w:val="1"/>
    <w:pPr>
      <w:ind w:left="139"/>
    </w:pPr>
    <w:rPr>
      <w:rFonts w:ascii="宋体" w:hAnsi="宋体"/>
      <w:sz w:val="24"/>
    </w:rPr>
  </w:style>
  <w:style w:type="paragraph" w:styleId="9">
    <w:name w:val="footer"/>
    <w:basedOn w:val="1"/>
    <w:link w:val="21"/>
    <w:qFormat/>
    <w:uiPriority w:val="99"/>
    <w:pPr>
      <w:tabs>
        <w:tab w:val="center" w:pos="4153"/>
        <w:tab w:val="right" w:pos="8306"/>
      </w:tabs>
      <w:snapToGrid w:val="0"/>
      <w:jc w:val="left"/>
    </w:pPr>
    <w:rPr>
      <w:sz w:val="18"/>
      <w:szCs w:val="18"/>
    </w:rPr>
  </w:style>
  <w:style w:type="paragraph" w:styleId="10">
    <w:name w:val="header"/>
    <w:basedOn w:val="1"/>
    <w:link w:val="20"/>
    <w:qFormat/>
    <w:uiPriority w:val="99"/>
    <w:pPr>
      <w:pBdr>
        <w:bottom w:val="single" w:color="auto" w:sz="6" w:space="1"/>
      </w:pBdr>
      <w:tabs>
        <w:tab w:val="center" w:pos="4153"/>
        <w:tab w:val="right" w:pos="8306"/>
      </w:tabs>
      <w:snapToGrid w:val="0"/>
      <w:jc w:val="center"/>
    </w:pPr>
    <w:rPr>
      <w:sz w:val="18"/>
      <w:szCs w:val="18"/>
    </w:rPr>
  </w:style>
  <w:style w:type="paragraph" w:styleId="11">
    <w:name w:val="toc 1"/>
    <w:basedOn w:val="1"/>
    <w:next w:val="1"/>
    <w:qFormat/>
    <w:uiPriority w:val="39"/>
    <w:pPr>
      <w:tabs>
        <w:tab w:val="right" w:leader="dot" w:pos="8302"/>
      </w:tabs>
      <w:ind w:firstLine="0" w:firstLineChars="0"/>
      <w:jc w:val="center"/>
    </w:pPr>
    <w:rPr>
      <w:b/>
      <w:szCs w:val="36"/>
    </w:rPr>
  </w:style>
  <w:style w:type="paragraph" w:styleId="12">
    <w:name w:val="toc 2"/>
    <w:basedOn w:val="1"/>
    <w:next w:val="1"/>
    <w:qFormat/>
    <w:uiPriority w:val="39"/>
    <w:pPr>
      <w:tabs>
        <w:tab w:val="right" w:leader="dot" w:pos="8302"/>
      </w:tabs>
      <w:spacing w:line="240" w:lineRule="auto"/>
      <w:ind w:left="420" w:leftChars="150" w:firstLine="199" w:firstLineChars="83"/>
    </w:pPr>
    <w:rPr>
      <w:sz w:val="24"/>
    </w:rPr>
  </w:style>
  <w:style w:type="table" w:styleId="14">
    <w:name w:val="Table Grid"/>
    <w:basedOn w:val="13"/>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16">
    <w:name w:val="page number"/>
    <w:basedOn w:val="15"/>
    <w:qFormat/>
    <w:uiPriority w:val="0"/>
  </w:style>
  <w:style w:type="character" w:styleId="17">
    <w:name w:val="Hyperlink"/>
    <w:basedOn w:val="15"/>
    <w:qFormat/>
    <w:uiPriority w:val="99"/>
    <w:rPr>
      <w:color w:val="0000FF"/>
      <w:u w:val="single"/>
    </w:rPr>
  </w:style>
  <w:style w:type="paragraph" w:customStyle="1" w:styleId="18">
    <w:name w:val="Default"/>
    <w:qFormat/>
    <w:uiPriority w:val="0"/>
    <w:pPr>
      <w:widowControl w:val="0"/>
      <w:autoSpaceDE w:val="0"/>
      <w:autoSpaceDN w:val="0"/>
      <w:adjustRightInd w:val="0"/>
    </w:pPr>
    <w:rPr>
      <w:rFonts w:ascii="黑体" w:hAnsi="Calibri" w:eastAsia="黑体" w:cs="Times New Roman"/>
      <w:color w:val="000000"/>
      <w:sz w:val="24"/>
      <w:szCs w:val="24"/>
      <w:lang w:val="en-US" w:eastAsia="zh-CN" w:bidi="ar-SA"/>
    </w:rPr>
  </w:style>
  <w:style w:type="paragraph" w:customStyle="1" w:styleId="19">
    <w:name w:val="表格"/>
    <w:basedOn w:val="1"/>
    <w:qFormat/>
    <w:uiPriority w:val="0"/>
    <w:pPr>
      <w:widowControl/>
      <w:spacing w:line="240" w:lineRule="auto"/>
      <w:ind w:firstLine="0" w:firstLineChars="0"/>
      <w:jc w:val="center"/>
      <w:textAlignment w:val="center"/>
    </w:pPr>
    <w:rPr>
      <w:color w:val="000000"/>
      <w:kern w:val="0"/>
      <w:sz w:val="21"/>
      <w:szCs w:val="22"/>
    </w:rPr>
  </w:style>
  <w:style w:type="character" w:customStyle="1" w:styleId="20">
    <w:name w:val="页眉 字符"/>
    <w:basedOn w:val="15"/>
    <w:link w:val="10"/>
    <w:uiPriority w:val="99"/>
    <w:rPr>
      <w:kern w:val="2"/>
      <w:sz w:val="18"/>
      <w:szCs w:val="18"/>
    </w:rPr>
  </w:style>
  <w:style w:type="character" w:customStyle="1" w:styleId="21">
    <w:name w:val="页脚 字符"/>
    <w:basedOn w:val="15"/>
    <w:link w:val="9"/>
    <w:qFormat/>
    <w:uiPriority w:val="99"/>
    <w:rPr>
      <w:kern w:val="2"/>
      <w:sz w:val="18"/>
      <w:szCs w:val="18"/>
    </w:rPr>
  </w:style>
</w:styles>
</file>

<file path=word/_rels/document.xml.rels><?xml version="1.0" encoding="UTF-8" standalone="yes"?>
<Relationships xmlns="http://schemas.openxmlformats.org/package/2006/relationships"><Relationship Id="rId9" Type="http://schemas.openxmlformats.org/officeDocument/2006/relationships/footer" Target="footer2.xml"/><Relationship Id="rId8" Type="http://schemas.openxmlformats.org/officeDocument/2006/relationships/footer" Target="footer1.xml"/><Relationship Id="rId7" Type="http://schemas.openxmlformats.org/officeDocument/2006/relationships/header" Target="header3.xml"/><Relationship Id="rId6" Type="http://schemas.openxmlformats.org/officeDocument/2006/relationships/header" Target="header2.xml"/><Relationship Id="rId5" Type="http://schemas.openxmlformats.org/officeDocument/2006/relationships/header" Target="head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9" Type="http://schemas.openxmlformats.org/officeDocument/2006/relationships/fontTable" Target="fontTable.xml"/><Relationship Id="rId18" Type="http://schemas.openxmlformats.org/officeDocument/2006/relationships/customXml" Target="../customXml/item2.xml"/><Relationship Id="rId17" Type="http://schemas.openxmlformats.org/officeDocument/2006/relationships/numbering" Target="numbering.xml"/><Relationship Id="rId16" Type="http://schemas.openxmlformats.org/officeDocument/2006/relationships/customXml" Target="../customXml/item1.xml"/><Relationship Id="rId15" Type="http://schemas.openxmlformats.org/officeDocument/2006/relationships/theme" Target="theme/theme1.xml"/><Relationship Id="rId14" Type="http://schemas.openxmlformats.org/officeDocument/2006/relationships/footer" Target="footer6.xml"/><Relationship Id="rId13" Type="http://schemas.openxmlformats.org/officeDocument/2006/relationships/header" Target="header4.xml"/><Relationship Id="rId12" Type="http://schemas.openxmlformats.org/officeDocument/2006/relationships/footer" Target="footer5.xml"/><Relationship Id="rId11" Type="http://schemas.openxmlformats.org/officeDocument/2006/relationships/footer" Target="footer4.xml"/><Relationship Id="rId10" Type="http://schemas.openxmlformats.org/officeDocument/2006/relationships/footer" Target="footer3.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F4C41EA0-EC99-4910-90A7-102B029D929B}">
  <ds:schemaRefs/>
</ds:datastoreItem>
</file>

<file path=docProps/app.xml><?xml version="1.0" encoding="utf-8"?>
<Properties xmlns="http://schemas.openxmlformats.org/officeDocument/2006/extended-properties" xmlns:vt="http://schemas.openxmlformats.org/officeDocument/2006/docPropsVTypes">
  <Template>Normal.dotm</Template>
  <Pages>23</Pages>
  <Words>6805</Words>
  <Characters>8188</Characters>
  <Lines>73</Lines>
  <Paragraphs>20</Paragraphs>
  <TotalTime>1284</TotalTime>
  <ScaleCrop>false</ScaleCrop>
  <LinksUpToDate>false</LinksUpToDate>
  <CharactersWithSpaces>8218</CharactersWithSpaces>
  <Application>WPS Office_12.1.0.17147_F1E327BC-269C-435d-A152-05C5408002CA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2024-08-13T07:26:00Z</dcterms:created>
  <dc:creator>小时候果</dc:creator>
  <cp:lastModifiedBy>len</cp:lastModifiedBy>
  <cp:lastPrinted>2024-08-20T01:07:00Z</cp:lastPrinted>
  <dcterms:modified xsi:type="dcterms:W3CDTF">2024-08-26T08:33:04Z</dcterms:modified>
  <cp:revision>9</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2052-12.1.0.17147</vt:lpwstr>
  </property>
  <property fmtid="{D5CDD505-2E9C-101B-9397-08002B2CF9AE}" pid="3" name="ICV">
    <vt:lpwstr>E7AEB89E659441FC98840852BEE0E771_13</vt:lpwstr>
  </property>
</Properties>
</file>