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left"/>
        <w:rPr>
          <w:rFonts w:hint="default" w:ascii="Times New Roman" w:hAnsi="Times New Roman" w:eastAsia="黑体" w:cs="Times New Roman"/>
          <w:sz w:val="32"/>
          <w:szCs w:val="32"/>
          <w:lang w:val="en-US" w:eastAsia="zh-CN"/>
        </w:rPr>
      </w:pPr>
      <w:r>
        <w:rPr>
          <w:rFonts w:hint="default" w:ascii="Times New Roman" w:hAnsi="Times New Roman" w:eastAsia="黑体" w:cs="Times New Roman"/>
          <w:sz w:val="32"/>
          <w:szCs w:val="32"/>
          <w:lang w:val="en-US" w:eastAsia="zh-CN"/>
        </w:rPr>
        <w:t>附件</w:t>
      </w:r>
    </w:p>
    <w:p>
      <w:pPr>
        <w:keepNext w:val="0"/>
        <w:keepLines w:val="0"/>
        <w:pageBreakBefore w:val="0"/>
        <w:kinsoku/>
        <w:wordWrap/>
        <w:overflowPunct/>
        <w:topLinePunct w:val="0"/>
        <w:autoSpaceDE/>
        <w:autoSpaceDN/>
        <w:bidi w:val="0"/>
        <w:adjustRightInd/>
        <w:snapToGrid/>
        <w:spacing w:line="480" w:lineRule="exact"/>
        <w:jc w:val="center"/>
        <w:rPr>
          <w:rFonts w:hint="default" w:ascii="Times New Roman" w:hAnsi="Times New Roman" w:eastAsia="仿宋" w:cs="Times New Roman"/>
          <w:color w:val="auto"/>
          <w:sz w:val="32"/>
          <w:szCs w:val="32"/>
          <w:lang w:val="en-US" w:eastAsia="zh-CN"/>
        </w:rPr>
      </w:pPr>
      <w:r>
        <w:rPr>
          <w:rFonts w:hint="default" w:ascii="Times New Roman" w:hAnsi="Times New Roman" w:eastAsia="仿宋" w:cs="Times New Roman"/>
          <w:color w:val="auto"/>
          <w:sz w:val="32"/>
          <w:szCs w:val="32"/>
          <w:lang w:val="en-US" w:eastAsia="zh-CN"/>
        </w:rPr>
        <w:t>城发改价服〔2024〕</w:t>
      </w:r>
      <w:r>
        <w:rPr>
          <w:rFonts w:hint="eastAsia" w:ascii="Times New Roman" w:hAnsi="Times New Roman" w:eastAsia="仿宋" w:cs="Times New Roman"/>
          <w:color w:val="auto"/>
          <w:sz w:val="32"/>
          <w:szCs w:val="32"/>
          <w:lang w:val="en-US" w:eastAsia="zh-CN"/>
        </w:rPr>
        <w:t xml:space="preserve"> </w:t>
      </w:r>
      <w:r>
        <w:rPr>
          <w:rFonts w:hint="default" w:ascii="Times New Roman" w:hAnsi="Times New Roman" w:eastAsia="仿宋" w:cs="Times New Roman"/>
          <w:color w:val="auto"/>
          <w:sz w:val="32"/>
          <w:szCs w:val="32"/>
          <w:lang w:val="en-US" w:eastAsia="zh-CN"/>
        </w:rPr>
        <w:t>号</w:t>
      </w:r>
    </w:p>
    <w:p>
      <w:pPr>
        <w:keepNext w:val="0"/>
        <w:keepLines w:val="0"/>
        <w:pageBreakBefore w:val="0"/>
        <w:kinsoku/>
        <w:wordWrap/>
        <w:overflowPunct/>
        <w:topLinePunct w:val="0"/>
        <w:autoSpaceDE/>
        <w:autoSpaceDN/>
        <w:bidi w:val="0"/>
        <w:adjustRightInd/>
        <w:snapToGrid/>
        <w:spacing w:line="480" w:lineRule="exact"/>
        <w:jc w:val="center"/>
        <w:rPr>
          <w:rFonts w:hint="default" w:ascii="Times New Roman" w:hAnsi="Times New Roman" w:eastAsia="仿宋" w:cs="Times New Roman"/>
          <w:color w:val="auto"/>
          <w:sz w:val="32"/>
          <w:szCs w:val="32"/>
          <w:lang w:val="en-US" w:eastAsia="zh-CN"/>
        </w:rPr>
      </w:pPr>
    </w:p>
    <w:p>
      <w:pPr>
        <w:keepNext w:val="0"/>
        <w:keepLines w:val="0"/>
        <w:pageBreakBefore w:val="0"/>
        <w:kinsoku/>
        <w:wordWrap/>
        <w:overflowPunct/>
        <w:topLinePunct w:val="0"/>
        <w:autoSpaceDE/>
        <w:autoSpaceDN/>
        <w:bidi w:val="0"/>
        <w:adjustRightInd/>
        <w:snapToGrid/>
        <w:spacing w:line="480" w:lineRule="exact"/>
        <w:jc w:val="center"/>
        <w:rPr>
          <w:rFonts w:hint="default" w:ascii="Times New Roman" w:hAnsi="Times New Roman" w:eastAsia="仿宋" w:cs="Times New Roman"/>
          <w:color w:val="auto"/>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default" w:ascii="Times New Roman" w:hAnsi="Times New Roman" w:eastAsia="宋体" w:cs="Times New Roman"/>
          <w:b/>
          <w:bCs/>
          <w:color w:val="auto"/>
          <w:sz w:val="44"/>
          <w:szCs w:val="44"/>
          <w:lang w:val="en-US" w:eastAsia="zh-CN"/>
        </w:rPr>
      </w:pPr>
      <w:bookmarkStart w:id="0" w:name="_GoBack"/>
      <w:r>
        <w:rPr>
          <w:rFonts w:hint="eastAsia" w:ascii="Times New Roman" w:hAnsi="Times New Roman" w:cs="Times New Roman"/>
          <w:b/>
          <w:bCs/>
          <w:color w:val="auto"/>
          <w:sz w:val="44"/>
          <w:szCs w:val="44"/>
          <w:lang w:val="en-US" w:eastAsia="zh-CN"/>
        </w:rPr>
        <w:t>关于印发《</w:t>
      </w:r>
      <w:r>
        <w:rPr>
          <w:rFonts w:hint="default" w:ascii="Times New Roman" w:hAnsi="Times New Roman" w:eastAsia="宋体" w:cs="Times New Roman"/>
          <w:b/>
          <w:bCs/>
          <w:color w:val="auto"/>
          <w:sz w:val="44"/>
          <w:szCs w:val="44"/>
          <w:lang w:val="en-US" w:eastAsia="zh-CN"/>
        </w:rPr>
        <w:t>城步苗族自治县城镇生活垃圾处理收费项目和标准</w:t>
      </w:r>
      <w:r>
        <w:rPr>
          <w:rFonts w:hint="eastAsia" w:ascii="Times New Roman" w:hAnsi="Times New Roman" w:cs="Times New Roman"/>
          <w:b/>
          <w:bCs/>
          <w:color w:val="auto"/>
          <w:sz w:val="44"/>
          <w:szCs w:val="44"/>
          <w:lang w:val="en-US" w:eastAsia="zh-CN"/>
        </w:rPr>
        <w:t>》</w:t>
      </w:r>
      <w:r>
        <w:rPr>
          <w:rFonts w:hint="default" w:ascii="Times New Roman" w:hAnsi="Times New Roman" w:eastAsia="宋体" w:cs="Times New Roman"/>
          <w:b/>
          <w:bCs/>
          <w:color w:val="auto"/>
          <w:sz w:val="44"/>
          <w:szCs w:val="44"/>
          <w:lang w:val="en-US" w:eastAsia="zh-CN"/>
        </w:rPr>
        <w:t>的通知（征求意见稿）</w:t>
      </w:r>
    </w:p>
    <w:bookmarkEnd w:id="0"/>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default" w:ascii="Times New Roman" w:hAnsi="Times New Roman" w:eastAsia="宋体" w:cs="Times New Roman"/>
          <w:b/>
          <w:bCs/>
          <w:color w:val="auto"/>
          <w:sz w:val="44"/>
          <w:szCs w:val="44"/>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default" w:ascii="Times New Roman" w:hAnsi="Times New Roman" w:eastAsia="仿宋" w:cs="Times New Roman"/>
          <w:color w:val="auto"/>
          <w:sz w:val="32"/>
          <w:szCs w:val="32"/>
          <w:lang w:val="en-US" w:eastAsia="zh-CN"/>
        </w:rPr>
      </w:pPr>
      <w:r>
        <w:rPr>
          <w:rFonts w:hint="default" w:ascii="Times New Roman" w:hAnsi="Times New Roman" w:eastAsia="仿宋" w:cs="Times New Roman"/>
          <w:color w:val="auto"/>
          <w:sz w:val="32"/>
          <w:szCs w:val="32"/>
          <w:lang w:val="en-US" w:eastAsia="zh-CN"/>
        </w:rPr>
        <w:t>国家税务总局城步苗族自治县税务局：</w:t>
      </w:r>
    </w:p>
    <w:p>
      <w:pPr>
        <w:keepNext w:val="0"/>
        <w:keepLines w:val="0"/>
        <w:pageBreakBefore w:val="0"/>
        <w:kinsoku/>
        <w:wordWrap/>
        <w:overflowPunct/>
        <w:topLinePunct w:val="0"/>
        <w:autoSpaceDE/>
        <w:autoSpaceDN/>
        <w:bidi w:val="0"/>
        <w:adjustRightInd/>
        <w:snapToGrid/>
        <w:spacing w:line="560" w:lineRule="exact"/>
        <w:ind w:firstLine="640" w:firstLineChars="200"/>
        <w:jc w:val="both"/>
        <w:rPr>
          <w:rFonts w:hint="default" w:ascii="Times New Roman" w:hAnsi="Times New Roman" w:eastAsia="仿宋" w:cs="Times New Roman"/>
          <w:color w:val="auto"/>
          <w:sz w:val="32"/>
          <w:szCs w:val="32"/>
          <w:lang w:val="en-US" w:eastAsia="zh-CN"/>
        </w:rPr>
      </w:pPr>
      <w:r>
        <w:rPr>
          <w:rFonts w:hint="default" w:ascii="Times New Roman" w:hAnsi="Times New Roman" w:eastAsia="仿宋" w:cs="Times New Roman"/>
          <w:color w:val="auto"/>
          <w:sz w:val="32"/>
          <w:szCs w:val="32"/>
          <w:lang w:val="en-US" w:eastAsia="zh-CN"/>
        </w:rPr>
        <w:t>你局《关于</w:t>
      </w:r>
      <w:r>
        <w:rPr>
          <w:rFonts w:hint="default" w:ascii="Times New Roman" w:hAnsi="Times New Roman" w:eastAsia="仿宋" w:cs="Times New Roman"/>
          <w:b w:val="0"/>
          <w:bCs w:val="0"/>
          <w:color w:val="auto"/>
          <w:w w:val="90"/>
          <w:sz w:val="32"/>
          <w:szCs w:val="32"/>
          <w:lang w:eastAsia="zh-CN"/>
        </w:rPr>
        <w:t>重</w:t>
      </w:r>
      <w:r>
        <w:rPr>
          <w:rFonts w:hint="default" w:ascii="Times New Roman" w:hAnsi="Times New Roman" w:eastAsia="仿宋" w:cs="Times New Roman"/>
          <w:color w:val="auto"/>
          <w:sz w:val="32"/>
          <w:szCs w:val="32"/>
          <w:lang w:val="en-US" w:eastAsia="zh-CN"/>
        </w:rPr>
        <w:t>新发布城镇生活垃圾处理收费项目和标准文件的请示》收悉。根据《中华人民共和国价格法》、湖南省发展和改革委员会《关于印发〈湖南省定价目录〉的通知》（湘发改价调规〔2023〕125号）、湖南省发展和改革委员会 湖南省财政厅 湖南省住房和城乡建设厅《关于印发〈湖南省城镇生活垃圾处理收费管理办法（2022年修订）的通知》（湘发改价费规〔2022〕945号）等文件要求和法律规定，为</w:t>
      </w:r>
      <w:r>
        <w:rPr>
          <w:rFonts w:hint="default" w:ascii="Times New Roman" w:hAnsi="Times New Roman" w:eastAsia="仿宋" w:cs="Times New Roman"/>
          <w:caps w:val="0"/>
          <w:color w:val="auto"/>
          <w:spacing w:val="0"/>
          <w:sz w:val="32"/>
          <w:szCs w:val="32"/>
          <w:shd w:val="clear" w:color="auto" w:fill="FFFFFF"/>
        </w:rPr>
        <w:t>加强城市市容和环境卫生管理，提升城市建设品质和管理水平，促进城镇生活垃圾处理费征缴工作，</w:t>
      </w:r>
      <w:r>
        <w:rPr>
          <w:rFonts w:hint="default" w:ascii="Times New Roman" w:hAnsi="Times New Roman" w:eastAsia="仿宋" w:cs="Times New Roman"/>
          <w:color w:val="auto"/>
          <w:sz w:val="32"/>
          <w:szCs w:val="32"/>
          <w:lang w:val="en-US" w:eastAsia="zh-CN"/>
        </w:rPr>
        <w:t>经成本监审，现行城镇垃圾处理总成本与现行收费情况基本持平，通过召开相关部门座谈会研究并报县人民政府同意，现将计征方式方法和收费标准公布如下：</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60" w:lineRule="exact"/>
        <w:ind w:right="0" w:firstLine="640" w:firstLineChars="200"/>
        <w:jc w:val="both"/>
        <w:textAlignment w:val="center"/>
        <w:rPr>
          <w:rFonts w:hint="default" w:ascii="Times New Roman" w:hAnsi="Times New Roman" w:eastAsia="黑体" w:cs="Times New Roman"/>
          <w:caps w:val="0"/>
          <w:color w:val="auto"/>
          <w:spacing w:val="0"/>
          <w:sz w:val="32"/>
          <w:szCs w:val="32"/>
        </w:rPr>
      </w:pPr>
      <w:r>
        <w:rPr>
          <w:rFonts w:hint="default" w:ascii="Times New Roman" w:hAnsi="Times New Roman" w:eastAsia="黑体" w:cs="Times New Roman"/>
          <w:caps w:val="0"/>
          <w:color w:val="auto"/>
          <w:spacing w:val="0"/>
          <w:sz w:val="32"/>
          <w:szCs w:val="32"/>
        </w:rPr>
        <w:t>一、征收范围</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 w:cs="Times New Roman"/>
          <w:color w:val="auto"/>
          <w:sz w:val="32"/>
          <w:szCs w:val="32"/>
          <w:lang w:val="en-US" w:eastAsia="zh-CN"/>
        </w:rPr>
      </w:pPr>
      <w:r>
        <w:rPr>
          <w:rFonts w:hint="default" w:ascii="Times New Roman" w:hAnsi="Times New Roman" w:eastAsia="仿宋" w:cs="Times New Roman"/>
          <w:color w:val="auto"/>
          <w:sz w:val="32"/>
          <w:szCs w:val="32"/>
          <w:lang w:val="en-US" w:eastAsia="zh-CN"/>
        </w:rPr>
        <w:t>城镇生活垃圾是指城镇人口在日常生活中或者为日常生活提供服务的活动产生的固体废物，以及法律、行政法规规定视为生活垃圾的固体废物，不包括工业固体废物、危险废物及建筑垃圾。</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 w:cs="Times New Roman"/>
          <w:color w:val="auto"/>
          <w:sz w:val="32"/>
          <w:szCs w:val="32"/>
          <w:lang w:val="en-US" w:eastAsia="zh-CN"/>
        </w:rPr>
      </w:pPr>
      <w:r>
        <w:rPr>
          <w:rFonts w:hint="default" w:ascii="Times New Roman" w:hAnsi="Times New Roman" w:eastAsia="仿宋" w:cs="Times New Roman"/>
          <w:color w:val="auto"/>
          <w:sz w:val="32"/>
          <w:szCs w:val="32"/>
          <w:lang w:val="en-US" w:eastAsia="zh-CN"/>
        </w:rPr>
        <w:t>城镇生活垃圾处理费是指将城镇规划建设的垃圾站（包括物业小区内垃圾站以及环境卫生部门提供的临时垃圾斗）的零散垃圾收集并运输到指定的垃圾集中地，实行无害化集中处理过程所产生的收集、运输（含卸）和处置费用，不含保洁服务费。因此，按照“产生者付费”原则，在本县城镇范围内产生生活垃圾的机关、企事业单位、社会团体、个体经营者、城镇居民（含暂住人口）以及各类营运交通工具等，均应当缴纳城镇生活垃圾处理费。具体收费标准见附表。</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0"/>
        <w:jc w:val="both"/>
        <w:textAlignment w:val="auto"/>
        <w:rPr>
          <w:rFonts w:hint="default" w:ascii="Times New Roman" w:hAnsi="Times New Roman" w:eastAsia="黑体" w:cs="Times New Roman"/>
          <w:color w:val="auto"/>
          <w:sz w:val="32"/>
          <w:szCs w:val="32"/>
          <w:lang w:val="en-US" w:eastAsia="zh-CN"/>
        </w:rPr>
      </w:pPr>
      <w:r>
        <w:rPr>
          <w:rFonts w:hint="default" w:ascii="Times New Roman" w:hAnsi="Times New Roman" w:eastAsia="黑体" w:cs="Times New Roman"/>
          <w:color w:val="auto"/>
          <w:kern w:val="2"/>
          <w:sz w:val="32"/>
          <w:szCs w:val="32"/>
          <w:lang w:val="en-US" w:eastAsia="zh-CN" w:bidi="ar-SA"/>
        </w:rPr>
        <w:t>二、</w:t>
      </w:r>
      <w:r>
        <w:rPr>
          <w:rFonts w:hint="default" w:ascii="Times New Roman" w:hAnsi="Times New Roman" w:eastAsia="黑体" w:cs="Times New Roman"/>
          <w:color w:val="auto"/>
          <w:sz w:val="32"/>
          <w:szCs w:val="32"/>
          <w:lang w:val="en-US" w:eastAsia="zh-CN"/>
        </w:rPr>
        <w:t>征收方式</w:t>
      </w:r>
    </w:p>
    <w:p>
      <w:pPr>
        <w:pStyle w:val="4"/>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430"/>
        <w:jc w:val="both"/>
        <w:textAlignment w:val="center"/>
        <w:rPr>
          <w:rFonts w:hint="default" w:ascii="Times New Roman" w:hAnsi="Times New Roman" w:eastAsia="仿宋" w:cs="Times New Roman"/>
          <w:caps w:val="0"/>
          <w:color w:val="auto"/>
          <w:spacing w:val="0"/>
          <w:sz w:val="32"/>
          <w:szCs w:val="32"/>
          <w:lang w:val="en-US" w:eastAsia="zh-CN"/>
        </w:rPr>
      </w:pPr>
      <w:r>
        <w:rPr>
          <w:rFonts w:hint="default" w:ascii="Times New Roman" w:hAnsi="Times New Roman" w:eastAsia="仿宋" w:cs="Times New Roman"/>
          <w:b w:val="0"/>
          <w:bCs w:val="0"/>
          <w:color w:val="auto"/>
          <w:sz w:val="32"/>
          <w:szCs w:val="32"/>
          <w:u w:val="none"/>
          <w:vertAlign w:val="baseline"/>
          <w:lang w:val="en-US" w:eastAsia="zh-CN"/>
        </w:rPr>
        <w:t>县城规划区内居民及暂住人口、</w:t>
      </w:r>
      <w:r>
        <w:rPr>
          <w:rFonts w:hint="default" w:ascii="Times New Roman" w:hAnsi="Times New Roman" w:eastAsia="仿宋" w:cs="Times New Roman"/>
          <w:caps w:val="0"/>
          <w:color w:val="auto"/>
          <w:spacing w:val="0"/>
          <w:sz w:val="32"/>
          <w:szCs w:val="32"/>
          <w:lang w:val="en-US" w:eastAsia="zh-CN"/>
        </w:rPr>
        <w:t>商业类和其他行业</w:t>
      </w:r>
      <w:r>
        <w:rPr>
          <w:rFonts w:hint="default" w:ascii="Times New Roman" w:hAnsi="Times New Roman" w:eastAsia="仿宋" w:cs="Times New Roman"/>
          <w:caps w:val="0"/>
          <w:color w:val="auto"/>
          <w:spacing w:val="0"/>
          <w:sz w:val="32"/>
          <w:szCs w:val="32"/>
        </w:rPr>
        <w:t>由</w:t>
      </w:r>
      <w:r>
        <w:rPr>
          <w:rFonts w:hint="default" w:ascii="Times New Roman" w:hAnsi="Times New Roman" w:eastAsia="仿宋" w:cs="Times New Roman"/>
          <w:caps w:val="0"/>
          <w:color w:val="auto"/>
          <w:spacing w:val="0"/>
          <w:sz w:val="32"/>
          <w:szCs w:val="32"/>
          <w:lang w:val="en-US" w:eastAsia="zh-CN"/>
        </w:rPr>
        <w:t>县环境卫生</w:t>
      </w:r>
      <w:r>
        <w:rPr>
          <w:rFonts w:hint="default" w:ascii="Times New Roman" w:hAnsi="Times New Roman" w:eastAsia="仿宋" w:cs="Times New Roman"/>
          <w:caps w:val="0"/>
          <w:color w:val="auto"/>
          <w:spacing w:val="0"/>
          <w:sz w:val="32"/>
          <w:szCs w:val="32"/>
        </w:rPr>
        <w:t>部门核定缴费金额，按照年度一次性收取，</w:t>
      </w:r>
      <w:r>
        <w:rPr>
          <w:rFonts w:hint="default" w:ascii="Times New Roman" w:hAnsi="Times New Roman" w:eastAsia="仿宋" w:cs="Times New Roman"/>
          <w:caps w:val="0"/>
          <w:color w:val="auto"/>
          <w:spacing w:val="0"/>
          <w:sz w:val="32"/>
          <w:szCs w:val="32"/>
          <w:lang w:val="en-US" w:eastAsia="zh-CN"/>
        </w:rPr>
        <w:t>居住时间或者经营时间不满一年</w:t>
      </w:r>
      <w:r>
        <w:rPr>
          <w:rFonts w:hint="default" w:ascii="Times New Roman" w:hAnsi="Times New Roman" w:eastAsia="仿宋" w:cs="Times New Roman"/>
          <w:caps w:val="0"/>
          <w:color w:val="auto"/>
          <w:spacing w:val="0"/>
          <w:sz w:val="32"/>
          <w:szCs w:val="32"/>
        </w:rPr>
        <w:t>的，按实际</w:t>
      </w:r>
      <w:r>
        <w:rPr>
          <w:rFonts w:hint="default" w:ascii="Times New Roman" w:hAnsi="Times New Roman" w:eastAsia="仿宋" w:cs="Times New Roman"/>
          <w:caps w:val="0"/>
          <w:color w:val="auto"/>
          <w:spacing w:val="0"/>
          <w:sz w:val="32"/>
          <w:szCs w:val="32"/>
          <w:lang w:val="en-US" w:eastAsia="zh-CN"/>
        </w:rPr>
        <w:t>居住时间或</w:t>
      </w:r>
      <w:r>
        <w:rPr>
          <w:rFonts w:hint="default" w:ascii="Times New Roman" w:hAnsi="Times New Roman" w:eastAsia="仿宋" w:cs="Times New Roman"/>
          <w:caps w:val="0"/>
          <w:color w:val="auto"/>
          <w:spacing w:val="0"/>
          <w:sz w:val="32"/>
          <w:szCs w:val="32"/>
        </w:rPr>
        <w:t>经营时间予以核费征缴，使用湖南省税务局掌上缴费APP进行缴纳</w:t>
      </w:r>
      <w:r>
        <w:rPr>
          <w:rFonts w:hint="default" w:ascii="Times New Roman" w:hAnsi="Times New Roman" w:eastAsia="仿宋" w:cs="Times New Roman"/>
          <w:caps w:val="0"/>
          <w:color w:val="auto"/>
          <w:spacing w:val="0"/>
          <w:sz w:val="32"/>
          <w:szCs w:val="32"/>
          <w:lang w:val="en-US" w:eastAsia="zh-CN"/>
        </w:rPr>
        <w:t>。</w:t>
      </w:r>
    </w:p>
    <w:p>
      <w:pPr>
        <w:pStyle w:val="4"/>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430"/>
        <w:jc w:val="both"/>
        <w:textAlignment w:val="center"/>
        <w:rPr>
          <w:rFonts w:hint="default" w:ascii="Times New Roman" w:hAnsi="Times New Roman" w:eastAsia="仿宋" w:cs="Times New Roman"/>
          <w:caps w:val="0"/>
          <w:color w:val="auto"/>
          <w:spacing w:val="0"/>
          <w:sz w:val="32"/>
          <w:szCs w:val="32"/>
        </w:rPr>
      </w:pPr>
      <w:r>
        <w:rPr>
          <w:rFonts w:hint="default" w:ascii="Times New Roman" w:hAnsi="Times New Roman" w:eastAsia="仿宋" w:cs="Times New Roman"/>
          <w:caps w:val="0"/>
          <w:color w:val="auto"/>
          <w:spacing w:val="0"/>
          <w:sz w:val="32"/>
          <w:szCs w:val="32"/>
          <w:lang w:val="en-US" w:eastAsia="zh-CN"/>
        </w:rPr>
        <w:t>行政事业单位和厂矿企业类</w:t>
      </w:r>
      <w:r>
        <w:rPr>
          <w:rFonts w:hint="default" w:ascii="Times New Roman" w:hAnsi="Times New Roman" w:eastAsia="仿宋" w:cs="Times New Roman"/>
          <w:caps w:val="0"/>
          <w:color w:val="auto"/>
          <w:spacing w:val="0"/>
          <w:sz w:val="32"/>
          <w:szCs w:val="32"/>
        </w:rPr>
        <w:t>在税务系统办理城镇垃圾处理费费种认定，由</w:t>
      </w:r>
      <w:r>
        <w:rPr>
          <w:rFonts w:hint="default" w:ascii="Times New Roman" w:hAnsi="Times New Roman" w:eastAsia="仿宋" w:cs="Times New Roman"/>
          <w:caps w:val="0"/>
          <w:color w:val="auto"/>
          <w:spacing w:val="0"/>
          <w:sz w:val="32"/>
          <w:szCs w:val="32"/>
          <w:lang w:val="en-US" w:eastAsia="zh-CN"/>
        </w:rPr>
        <w:t>县环境卫生服务</w:t>
      </w:r>
      <w:r>
        <w:rPr>
          <w:rFonts w:hint="default" w:ascii="Times New Roman" w:hAnsi="Times New Roman" w:eastAsia="仿宋" w:cs="Times New Roman"/>
          <w:caps w:val="0"/>
          <w:color w:val="auto"/>
          <w:spacing w:val="0"/>
          <w:sz w:val="32"/>
          <w:szCs w:val="32"/>
        </w:rPr>
        <w:t>中心核定缴费金额，出具《湖南省城镇垃圾处理费缴款通知单》，按年度一次性收取，通过湖南省税务局的电子税务局自行申报缴纳或到</w:t>
      </w:r>
      <w:r>
        <w:rPr>
          <w:rFonts w:hint="default" w:ascii="Times New Roman" w:hAnsi="Times New Roman" w:eastAsia="仿宋" w:cs="Times New Roman"/>
          <w:caps w:val="0"/>
          <w:color w:val="auto"/>
          <w:spacing w:val="0"/>
          <w:sz w:val="32"/>
          <w:szCs w:val="32"/>
          <w:lang w:val="en-US" w:eastAsia="zh-CN"/>
        </w:rPr>
        <w:t>县</w:t>
      </w:r>
      <w:r>
        <w:rPr>
          <w:rFonts w:hint="default" w:ascii="Times New Roman" w:hAnsi="Times New Roman" w:eastAsia="仿宋" w:cs="Times New Roman"/>
          <w:caps w:val="0"/>
          <w:color w:val="auto"/>
          <w:spacing w:val="0"/>
          <w:sz w:val="32"/>
          <w:szCs w:val="32"/>
        </w:rPr>
        <w:t>税务部门征收窗口申报缴纳，并获取缴费凭证。</w:t>
      </w:r>
    </w:p>
    <w:p>
      <w:pPr>
        <w:pStyle w:val="4"/>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430"/>
        <w:jc w:val="both"/>
        <w:textAlignment w:val="center"/>
        <w:rPr>
          <w:rFonts w:hint="default" w:ascii="Times New Roman" w:hAnsi="Times New Roman" w:eastAsia="仿宋" w:cs="Times New Roman"/>
          <w:caps w:val="0"/>
          <w:color w:val="auto"/>
          <w:spacing w:val="0"/>
          <w:sz w:val="32"/>
          <w:szCs w:val="32"/>
          <w:lang w:val="en-US"/>
        </w:rPr>
      </w:pPr>
      <w:r>
        <w:rPr>
          <w:rFonts w:hint="default" w:ascii="Times New Roman" w:hAnsi="Times New Roman" w:eastAsia="仿宋" w:cs="Times New Roman"/>
          <w:caps w:val="0"/>
          <w:color w:val="auto"/>
          <w:spacing w:val="0"/>
          <w:sz w:val="32"/>
          <w:szCs w:val="32"/>
          <w:lang w:val="en-US" w:eastAsia="zh-CN"/>
        </w:rPr>
        <w:t>可采取委托方式征收，由税务部门与代征单位签订委托征收协议书，代征单位严格按照委托协议规定项目及标准进行代征。</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rightChars="0" w:firstLine="640" w:firstLineChars="200"/>
        <w:jc w:val="both"/>
        <w:textAlignment w:val="center"/>
        <w:rPr>
          <w:rFonts w:hint="default" w:ascii="Times New Roman" w:hAnsi="Times New Roman" w:eastAsia="黑体" w:cs="Times New Roman"/>
          <w:color w:val="auto"/>
          <w:sz w:val="32"/>
          <w:szCs w:val="32"/>
          <w:lang w:val="en-US" w:eastAsia="zh-CN"/>
        </w:rPr>
      </w:pPr>
      <w:r>
        <w:rPr>
          <w:rFonts w:hint="default" w:ascii="Times New Roman" w:hAnsi="Times New Roman" w:eastAsia="黑体" w:cs="Times New Roman"/>
          <w:color w:val="auto"/>
          <w:sz w:val="32"/>
          <w:szCs w:val="32"/>
          <w:lang w:val="en-US" w:eastAsia="zh-CN"/>
        </w:rPr>
        <w:t>三、减免对象和标准</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rightChars="0" w:firstLine="640" w:firstLineChars="200"/>
        <w:jc w:val="both"/>
        <w:textAlignment w:val="center"/>
        <w:rPr>
          <w:rFonts w:hint="default" w:ascii="Times New Roman" w:hAnsi="Times New Roman" w:eastAsia="仿宋" w:cs="Times New Roman"/>
          <w:color w:val="auto"/>
          <w:sz w:val="32"/>
          <w:szCs w:val="32"/>
          <w:lang w:val="en-US" w:eastAsia="zh-CN"/>
        </w:rPr>
      </w:pPr>
      <w:r>
        <w:rPr>
          <w:rFonts w:hint="default" w:ascii="Times New Roman" w:hAnsi="Times New Roman" w:eastAsia="仿宋" w:cs="Times New Roman"/>
          <w:color w:val="auto"/>
          <w:sz w:val="32"/>
          <w:szCs w:val="32"/>
          <w:lang w:val="en-US" w:eastAsia="zh-CN"/>
        </w:rPr>
        <w:t>对民政部门审核确认的最低生活保障对象、特困人员以及认定的最低生活保障边缘家庭，按照规定减免城镇生活垃圾处理费。</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0" w:firstLineChars="0"/>
        <w:jc w:val="both"/>
        <w:textAlignment w:val="auto"/>
        <w:rPr>
          <w:rFonts w:hint="default" w:ascii="Times New Roman" w:hAnsi="Times New Roman" w:eastAsia="仿宋" w:cs="Times New Roman"/>
          <w:color w:val="auto"/>
          <w:kern w:val="2"/>
          <w:sz w:val="32"/>
          <w:szCs w:val="32"/>
          <w:lang w:val="en-US" w:eastAsia="zh-CN" w:bidi="ar-SA"/>
        </w:rPr>
      </w:pPr>
      <w:r>
        <w:rPr>
          <w:rFonts w:hint="default" w:ascii="Times New Roman" w:hAnsi="Times New Roman" w:eastAsia="仿宋" w:cs="Times New Roman"/>
          <w:color w:val="auto"/>
          <w:kern w:val="2"/>
          <w:sz w:val="32"/>
          <w:szCs w:val="32"/>
          <w:lang w:val="en-US" w:eastAsia="zh-CN" w:bidi="ar-SA"/>
        </w:rPr>
        <w:t>四、严格加强生活垃圾处理费的管理，做到专款专用。生活垃圾处理费应全部用于支付城镇生活垃圾的收集、运输（含装卸）和“无害化”处置费用，任何部门和单位不得截留、挪用。</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0"/>
        <w:jc w:val="both"/>
        <w:textAlignment w:val="auto"/>
        <w:rPr>
          <w:rFonts w:hint="default" w:ascii="Times New Roman" w:hAnsi="Times New Roman" w:eastAsia="仿宋" w:cs="Times New Roman"/>
          <w:color w:val="auto"/>
          <w:sz w:val="32"/>
          <w:szCs w:val="32"/>
          <w:lang w:val="en-US" w:eastAsia="zh-CN"/>
        </w:rPr>
      </w:pPr>
      <w:r>
        <w:rPr>
          <w:rFonts w:hint="default" w:ascii="Times New Roman" w:hAnsi="Times New Roman" w:eastAsia="仿宋" w:cs="Times New Roman"/>
          <w:color w:val="auto"/>
          <w:sz w:val="32"/>
          <w:szCs w:val="32"/>
          <w:lang w:val="en-US" w:eastAsia="zh-CN"/>
        </w:rPr>
        <w:t>五、县城市管理和综合执法局应加强清扫保洁管理力度工作，改善服务态度，提高管理水平；国家税务总局城步苗族自治县税务局应严格按照核定的项目和标准收费，自觉接受县发展和改革局和县市场监督管理局的监督检查。</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0"/>
        <w:jc w:val="both"/>
        <w:textAlignment w:val="auto"/>
        <w:rPr>
          <w:rFonts w:hint="default" w:ascii="Times New Roman" w:hAnsi="Times New Roman" w:eastAsia="仿宋" w:cs="Times New Roman"/>
          <w:color w:val="auto"/>
          <w:sz w:val="32"/>
          <w:szCs w:val="32"/>
          <w:lang w:val="en-US" w:eastAsia="zh-CN"/>
        </w:rPr>
      </w:pPr>
      <w:r>
        <w:rPr>
          <w:rFonts w:hint="default" w:ascii="Times New Roman" w:hAnsi="Times New Roman" w:eastAsia="仿宋" w:cs="Times New Roman"/>
          <w:color w:val="auto"/>
          <w:kern w:val="2"/>
          <w:sz w:val="32"/>
          <w:szCs w:val="32"/>
          <w:lang w:val="en-US" w:eastAsia="zh-CN" w:bidi="ar-SA"/>
        </w:rPr>
        <w:t>六、</w:t>
      </w:r>
      <w:r>
        <w:rPr>
          <w:rFonts w:hint="default" w:ascii="Times New Roman" w:hAnsi="Times New Roman" w:eastAsia="仿宋" w:cs="Times New Roman"/>
          <w:color w:val="auto"/>
          <w:sz w:val="32"/>
          <w:szCs w:val="32"/>
          <w:lang w:val="en-US" w:eastAsia="zh-CN"/>
        </w:rPr>
        <w:t>本通知自2024年 月 日起执行。</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both"/>
        <w:textAlignment w:val="auto"/>
        <w:rPr>
          <w:rFonts w:hint="default" w:ascii="Times New Roman" w:hAnsi="Times New Roman" w:eastAsia="仿宋" w:cs="Times New Roman"/>
          <w:color w:val="auto"/>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right"/>
        <w:textAlignment w:val="auto"/>
        <w:rPr>
          <w:rFonts w:hint="default" w:ascii="Times New Roman" w:hAnsi="Times New Roman" w:eastAsia="仿宋" w:cs="Times New Roman"/>
          <w:color w:val="auto"/>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right"/>
        <w:textAlignment w:val="auto"/>
        <w:rPr>
          <w:rFonts w:hint="default" w:ascii="Times New Roman" w:hAnsi="Times New Roman" w:eastAsia="仿宋" w:cs="Times New Roman"/>
          <w:color w:val="auto"/>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right"/>
        <w:textAlignment w:val="auto"/>
        <w:rPr>
          <w:rFonts w:hint="default" w:ascii="Times New Roman" w:hAnsi="Times New Roman" w:eastAsia="仿宋" w:cs="Times New Roman"/>
          <w:color w:val="auto"/>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right"/>
        <w:textAlignment w:val="auto"/>
        <w:rPr>
          <w:rFonts w:hint="default" w:ascii="Times New Roman" w:hAnsi="Times New Roman" w:eastAsia="仿宋" w:cs="Times New Roman"/>
          <w:color w:val="auto"/>
          <w:sz w:val="32"/>
          <w:szCs w:val="32"/>
          <w:lang w:val="en-US" w:eastAsia="zh-CN"/>
        </w:rPr>
      </w:pPr>
      <w:r>
        <w:rPr>
          <w:rFonts w:hint="default" w:ascii="Times New Roman" w:hAnsi="Times New Roman" w:eastAsia="仿宋" w:cs="Times New Roman"/>
          <w:color w:val="auto"/>
          <w:sz w:val="32"/>
          <w:szCs w:val="32"/>
          <w:lang w:val="en-US" w:eastAsia="zh-CN"/>
        </w:rPr>
        <w:t>城步苗族自治县发展和改革局</w:t>
      </w:r>
    </w:p>
    <w:p>
      <w:pPr>
        <w:keepNext w:val="0"/>
        <w:keepLines w:val="0"/>
        <w:pageBreakBefore w:val="0"/>
        <w:widowControl w:val="0"/>
        <w:numPr>
          <w:ilvl w:val="0"/>
          <w:numId w:val="0"/>
        </w:numPr>
        <w:kinsoku/>
        <w:wordWrap w:val="0"/>
        <w:overflowPunct/>
        <w:topLinePunct w:val="0"/>
        <w:autoSpaceDE/>
        <w:autoSpaceDN/>
        <w:bidi w:val="0"/>
        <w:adjustRightInd/>
        <w:snapToGrid/>
        <w:spacing w:line="560" w:lineRule="exact"/>
        <w:jc w:val="right"/>
        <w:textAlignment w:val="auto"/>
        <w:rPr>
          <w:rFonts w:hint="default" w:ascii="Times New Roman" w:hAnsi="Times New Roman" w:eastAsia="仿宋" w:cs="Times New Roman"/>
          <w:color w:val="auto"/>
          <w:sz w:val="32"/>
          <w:szCs w:val="32"/>
          <w:lang w:val="en-US" w:eastAsia="zh-CN"/>
        </w:rPr>
      </w:pPr>
      <w:r>
        <w:rPr>
          <w:rFonts w:hint="default" w:ascii="Times New Roman" w:hAnsi="Times New Roman" w:eastAsia="仿宋" w:cs="Times New Roman"/>
          <w:color w:val="auto"/>
          <w:sz w:val="32"/>
          <w:szCs w:val="32"/>
          <w:lang w:val="en-US" w:eastAsia="zh-CN"/>
        </w:rPr>
        <w:t>2024年  月  日</w:t>
      </w:r>
      <w:r>
        <w:rPr>
          <w:rFonts w:hint="eastAsia" w:ascii="Times New Roman" w:hAnsi="Times New Roman" w:eastAsia="仿宋" w:cs="Times New Roman"/>
          <w:color w:val="auto"/>
          <w:sz w:val="32"/>
          <w:szCs w:val="32"/>
          <w:lang w:val="en-US" w:eastAsia="zh-CN"/>
        </w:rPr>
        <w:t xml:space="preserve">    </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jc w:val="left"/>
        <w:textAlignment w:val="auto"/>
        <w:rPr>
          <w:rFonts w:hint="default" w:ascii="Times New Roman" w:hAnsi="Times New Roman" w:eastAsia="仿宋" w:cs="Times New Roman"/>
          <w:sz w:val="32"/>
          <w:szCs w:val="32"/>
          <w:u w:val="single"/>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jc w:val="left"/>
        <w:textAlignment w:val="auto"/>
        <w:rPr>
          <w:rFonts w:hint="default" w:ascii="Times New Roman" w:hAnsi="Times New Roman" w:eastAsia="仿宋" w:cs="Times New Roman"/>
          <w:sz w:val="32"/>
          <w:szCs w:val="32"/>
          <w:u w:val="single"/>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jc w:val="left"/>
        <w:textAlignment w:val="auto"/>
        <w:rPr>
          <w:rFonts w:hint="default" w:ascii="Times New Roman" w:hAnsi="Times New Roman" w:eastAsia="仿宋" w:cs="Times New Roman"/>
          <w:sz w:val="32"/>
          <w:szCs w:val="32"/>
          <w:u w:val="single"/>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jc w:val="left"/>
        <w:textAlignment w:val="auto"/>
        <w:rPr>
          <w:rFonts w:hint="default" w:ascii="Times New Roman" w:hAnsi="Times New Roman" w:eastAsia="仿宋" w:cs="Times New Roman"/>
          <w:sz w:val="32"/>
          <w:szCs w:val="32"/>
          <w:u w:val="single"/>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jc w:val="left"/>
        <w:textAlignment w:val="auto"/>
        <w:rPr>
          <w:rFonts w:hint="default" w:ascii="Times New Roman" w:hAnsi="Times New Roman" w:eastAsia="仿宋" w:cs="Times New Roman"/>
          <w:sz w:val="32"/>
          <w:szCs w:val="32"/>
          <w:u w:val="single"/>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jc w:val="left"/>
        <w:textAlignment w:val="auto"/>
        <w:rPr>
          <w:rFonts w:hint="default" w:ascii="Times New Roman" w:hAnsi="Times New Roman" w:eastAsia="仿宋" w:cs="Times New Roman"/>
          <w:sz w:val="32"/>
          <w:szCs w:val="32"/>
          <w:u w:val="single"/>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jc w:val="left"/>
        <w:textAlignment w:val="auto"/>
        <w:rPr>
          <w:rFonts w:hint="default" w:ascii="Times New Roman" w:hAnsi="Times New Roman" w:eastAsia="仿宋" w:cs="Times New Roman"/>
          <w:sz w:val="32"/>
          <w:szCs w:val="32"/>
          <w:u w:val="single"/>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jc w:val="left"/>
        <w:textAlignment w:val="auto"/>
        <w:rPr>
          <w:rFonts w:hint="default" w:ascii="Times New Roman" w:hAnsi="Times New Roman" w:eastAsia="仿宋" w:cs="Times New Roman"/>
          <w:sz w:val="32"/>
          <w:szCs w:val="32"/>
          <w:u w:val="single"/>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jc w:val="left"/>
        <w:textAlignment w:val="auto"/>
        <w:rPr>
          <w:rFonts w:hint="default" w:ascii="Times New Roman" w:hAnsi="Times New Roman" w:eastAsia="仿宋" w:cs="Times New Roman"/>
          <w:sz w:val="32"/>
          <w:szCs w:val="32"/>
          <w:u w:val="single"/>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jc w:val="left"/>
        <w:textAlignment w:val="auto"/>
        <w:rPr>
          <w:rFonts w:hint="default" w:ascii="Times New Roman" w:hAnsi="Times New Roman" w:eastAsia="仿宋" w:cs="Times New Roman"/>
          <w:sz w:val="32"/>
          <w:szCs w:val="32"/>
          <w:u w:val="single"/>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jc w:val="left"/>
        <w:textAlignment w:val="auto"/>
        <w:rPr>
          <w:rFonts w:hint="default" w:ascii="Times New Roman" w:hAnsi="Times New Roman" w:eastAsia="仿宋" w:cs="Times New Roman"/>
          <w:sz w:val="32"/>
          <w:szCs w:val="32"/>
          <w:u w:val="single"/>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jc w:val="left"/>
        <w:textAlignment w:val="auto"/>
        <w:rPr>
          <w:rFonts w:hint="default" w:ascii="Times New Roman" w:hAnsi="Times New Roman" w:eastAsia="仿宋" w:cs="Times New Roman"/>
          <w:sz w:val="32"/>
          <w:szCs w:val="32"/>
          <w:u w:val="single"/>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jc w:val="left"/>
        <w:textAlignment w:val="auto"/>
        <w:rPr>
          <w:rFonts w:hint="default" w:ascii="Times New Roman" w:hAnsi="Times New Roman" w:eastAsia="仿宋" w:cs="Times New Roman"/>
          <w:sz w:val="32"/>
          <w:szCs w:val="32"/>
          <w:u w:val="single"/>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jc w:val="left"/>
        <w:textAlignment w:val="auto"/>
        <w:rPr>
          <w:rFonts w:hint="default" w:ascii="Times New Roman" w:hAnsi="Times New Roman" w:eastAsia="仿宋" w:cs="Times New Roman"/>
          <w:sz w:val="32"/>
          <w:szCs w:val="32"/>
          <w:u w:val="single"/>
          <w:lang w:val="en-US" w:eastAsia="zh-CN"/>
        </w:rPr>
      </w:pPr>
      <w:r>
        <w:rPr>
          <w:rFonts w:hint="default" w:ascii="Times New Roman" w:hAnsi="Times New Roman" w:eastAsia="仿宋" w:cs="Times New Roman"/>
          <w:sz w:val="32"/>
          <w:szCs w:val="32"/>
          <w:u w:val="single"/>
          <w:lang w:val="en-US" w:eastAsia="zh-CN"/>
        </w:rPr>
        <w:t xml:space="preserve">                                                    </w:t>
      </w:r>
      <w:r>
        <w:rPr>
          <w:rFonts w:hint="eastAsia" w:ascii="Times New Roman" w:hAnsi="Times New Roman" w:eastAsia="仿宋" w:cs="Times New Roman"/>
          <w:sz w:val="32"/>
          <w:szCs w:val="32"/>
          <w:u w:val="single"/>
          <w:lang w:val="en-US" w:eastAsia="zh-CN"/>
        </w:rPr>
        <w:t xml:space="preserve">   </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304" w:firstLineChars="100"/>
        <w:jc w:val="left"/>
        <w:textAlignment w:val="auto"/>
        <w:rPr>
          <w:rFonts w:hint="default" w:ascii="Times New Roman" w:hAnsi="Times New Roman" w:eastAsia="仿宋" w:cs="Times New Roman"/>
          <w:w w:val="95"/>
          <w:sz w:val="32"/>
          <w:szCs w:val="32"/>
          <w:u w:val="none"/>
          <w:lang w:val="en-US" w:eastAsia="zh-CN"/>
        </w:rPr>
      </w:pPr>
      <w:r>
        <w:rPr>
          <w:rFonts w:hint="default" w:ascii="Times New Roman" w:hAnsi="Times New Roman" w:eastAsia="仿宋" w:cs="Times New Roman"/>
          <w:w w:val="95"/>
          <w:sz w:val="32"/>
          <w:szCs w:val="32"/>
          <w:u w:val="none"/>
          <w:lang w:val="en-US" w:eastAsia="zh-CN"/>
        </w:rPr>
        <w:t xml:space="preserve">抄报：邵阳市发展和改革委员会 </w:t>
      </w:r>
      <w:r>
        <w:rPr>
          <w:rFonts w:hint="eastAsia" w:ascii="Times New Roman" w:hAnsi="Times New Roman" w:eastAsia="仿宋" w:cs="Times New Roman"/>
          <w:w w:val="95"/>
          <w:sz w:val="32"/>
          <w:szCs w:val="32"/>
          <w:u w:val="none"/>
          <w:lang w:val="en-US" w:eastAsia="zh-CN"/>
        </w:rPr>
        <w:t xml:space="preserve"> </w:t>
      </w:r>
      <w:r>
        <w:rPr>
          <w:rFonts w:hint="default" w:ascii="Times New Roman" w:hAnsi="Times New Roman" w:eastAsia="仿宋" w:cs="Times New Roman"/>
          <w:w w:val="95"/>
          <w:sz w:val="32"/>
          <w:szCs w:val="32"/>
          <w:u w:val="none"/>
          <w:lang w:val="en-US" w:eastAsia="zh-CN"/>
        </w:rPr>
        <w:t>邵阳市财政局</w:t>
      </w:r>
      <w:r>
        <w:rPr>
          <w:rFonts w:hint="eastAsia" w:ascii="Times New Roman" w:hAnsi="Times New Roman" w:eastAsia="仿宋" w:cs="Times New Roman"/>
          <w:w w:val="95"/>
          <w:sz w:val="32"/>
          <w:szCs w:val="32"/>
          <w:u w:val="none"/>
          <w:lang w:val="en-US" w:eastAsia="zh-CN"/>
        </w:rPr>
        <w:t xml:space="preserve">  </w:t>
      </w:r>
      <w:r>
        <w:rPr>
          <w:rFonts w:hint="default" w:ascii="Times New Roman" w:hAnsi="Times New Roman" w:eastAsia="仿宋" w:cs="Times New Roman"/>
          <w:w w:val="95"/>
          <w:sz w:val="32"/>
          <w:szCs w:val="32"/>
          <w:u w:val="none"/>
          <w:lang w:val="en-US" w:eastAsia="zh-CN"/>
        </w:rPr>
        <w:t>邵阳市城市</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1216" w:firstLineChars="400"/>
        <w:jc w:val="left"/>
        <w:textAlignment w:val="auto"/>
        <w:rPr>
          <w:rFonts w:hint="default" w:ascii="Times New Roman" w:hAnsi="Times New Roman" w:eastAsia="仿宋" w:cs="Times New Roman"/>
          <w:w w:val="95"/>
          <w:sz w:val="32"/>
          <w:szCs w:val="32"/>
          <w:u w:val="none"/>
          <w:lang w:val="en-US" w:eastAsia="zh-CN"/>
        </w:rPr>
      </w:pPr>
      <w:r>
        <w:rPr>
          <w:rFonts w:hint="default" w:ascii="Times New Roman" w:hAnsi="Times New Roman" w:eastAsia="仿宋" w:cs="Times New Roman"/>
          <w:w w:val="95"/>
          <w:sz w:val="32"/>
          <w:szCs w:val="32"/>
          <w:u w:val="none"/>
          <w:lang w:val="en-US" w:eastAsia="zh-CN"/>
        </w:rPr>
        <w:t>管理和综合执法局  城步苗族自治县人民政府</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jc w:val="left"/>
        <w:textAlignment w:val="auto"/>
        <w:rPr>
          <w:rFonts w:hint="default" w:ascii="Times New Roman" w:hAnsi="Times New Roman" w:eastAsia="仿宋" w:cs="Times New Roman"/>
          <w:w w:val="90"/>
          <w:sz w:val="32"/>
          <w:szCs w:val="32"/>
          <w:u w:val="single"/>
          <w:lang w:val="en-US" w:eastAsia="zh-CN"/>
        </w:rPr>
      </w:pPr>
      <w:r>
        <w:rPr>
          <w:rFonts w:hint="eastAsia" w:ascii="Times New Roman" w:hAnsi="Times New Roman" w:eastAsia="仿宋" w:cs="Times New Roman"/>
          <w:w w:val="90"/>
          <w:sz w:val="32"/>
          <w:szCs w:val="32"/>
          <w:u w:val="single"/>
          <w:lang w:val="en-US" w:eastAsia="zh-CN"/>
        </w:rPr>
        <w:t xml:space="preserve">  </w:t>
      </w:r>
      <w:r>
        <w:rPr>
          <w:rFonts w:hint="default" w:ascii="Times New Roman" w:hAnsi="Times New Roman" w:eastAsia="仿宋" w:cs="Times New Roman"/>
          <w:w w:val="90"/>
          <w:sz w:val="32"/>
          <w:szCs w:val="32"/>
          <w:u w:val="single"/>
          <w:lang w:val="en-US" w:eastAsia="zh-CN"/>
        </w:rPr>
        <w:t>抄送：各乡镇（场）人民政府，县直机关各单位，省、市驻城各单位</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jc w:val="left"/>
        <w:textAlignment w:val="auto"/>
        <w:rPr>
          <w:rFonts w:hint="default" w:ascii="Times New Roman" w:hAnsi="Times New Roman" w:eastAsia="仿宋" w:cs="Times New Roman"/>
          <w:w w:val="90"/>
          <w:sz w:val="32"/>
          <w:szCs w:val="32"/>
          <w:u w:val="single"/>
          <w:lang w:val="en-US" w:eastAsia="zh-CN"/>
        </w:rPr>
        <w:sectPr>
          <w:headerReference r:id="rId3" w:type="default"/>
          <w:footerReference r:id="rId4" w:type="default"/>
          <w:pgSz w:w="11906" w:h="16838"/>
          <w:pgMar w:top="2098" w:right="1474" w:bottom="1984" w:left="1587" w:header="851" w:footer="992" w:gutter="0"/>
          <w:pgBorders>
            <w:top w:val="none" w:sz="0" w:space="0"/>
            <w:left w:val="none" w:sz="0" w:space="0"/>
            <w:bottom w:val="none" w:sz="0" w:space="0"/>
            <w:right w:val="none" w:sz="0" w:space="0"/>
          </w:pgBorders>
          <w:cols w:space="720" w:num="1"/>
          <w:rtlGutter w:val="0"/>
          <w:docGrid w:type="lines" w:linePitch="319" w:charSpace="0"/>
        </w:sectPr>
      </w:pPr>
      <w:r>
        <w:rPr>
          <w:rFonts w:hint="eastAsia" w:ascii="Times New Roman" w:hAnsi="Times New Roman" w:eastAsia="仿宋" w:cs="Times New Roman"/>
          <w:w w:val="90"/>
          <w:sz w:val="32"/>
          <w:szCs w:val="32"/>
          <w:u w:val="single"/>
          <w:lang w:val="en-US" w:eastAsia="zh-CN"/>
        </w:rPr>
        <w:t xml:space="preserve">  城步苗族自治县发展和改革局办公室       2024年  月  日印发 </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jc w:val="left"/>
        <w:textAlignment w:val="auto"/>
        <w:rPr>
          <w:rFonts w:hint="default" w:ascii="Times New Roman" w:hAnsi="Times New Roman" w:eastAsia="黑体" w:cs="Times New Roman"/>
          <w:w w:val="90"/>
          <w:sz w:val="32"/>
          <w:szCs w:val="32"/>
          <w:u w:val="none"/>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jc w:val="center"/>
        <w:textAlignment w:val="auto"/>
        <w:rPr>
          <w:rFonts w:hint="default" w:ascii="Times New Roman" w:hAnsi="Times New Roman" w:eastAsia="宋体" w:cs="Times New Roman"/>
          <w:b/>
          <w:bCs/>
          <w:i w:val="0"/>
          <w:iCs w:val="0"/>
          <w:color w:val="000000"/>
          <w:kern w:val="0"/>
          <w:sz w:val="44"/>
          <w:szCs w:val="44"/>
          <w:u w:val="none"/>
          <w:lang w:val="en-US" w:eastAsia="zh-CN" w:bidi="ar"/>
        </w:rPr>
      </w:pPr>
      <w:r>
        <w:rPr>
          <w:rFonts w:hint="default" w:ascii="Times New Roman" w:hAnsi="Times New Roman" w:eastAsia="宋体" w:cs="Times New Roman"/>
          <w:b/>
          <w:bCs/>
          <w:i w:val="0"/>
          <w:iCs w:val="0"/>
          <w:color w:val="000000"/>
          <w:kern w:val="0"/>
          <w:sz w:val="44"/>
          <w:szCs w:val="44"/>
          <w:u w:val="none"/>
          <w:lang w:val="en-US" w:eastAsia="zh-CN" w:bidi="ar"/>
        </w:rPr>
        <w:t>城步苗族自治县城镇生活垃圾处理收费项目和标准</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jc w:val="center"/>
        <w:textAlignment w:val="auto"/>
        <w:rPr>
          <w:rFonts w:hint="default" w:ascii="Times New Roman" w:hAnsi="Times New Roman" w:eastAsia="宋体" w:cs="Times New Roman"/>
          <w:b/>
          <w:bCs/>
          <w:i w:val="0"/>
          <w:iCs w:val="0"/>
          <w:color w:val="000000"/>
          <w:kern w:val="0"/>
          <w:sz w:val="44"/>
          <w:szCs w:val="44"/>
          <w:u w:val="none"/>
          <w:lang w:val="en-US" w:eastAsia="zh-CN" w:bidi="ar"/>
        </w:rPr>
      </w:pPr>
    </w:p>
    <w:tbl>
      <w:tblPr>
        <w:tblStyle w:val="5"/>
        <w:tblW w:w="14039" w:type="dxa"/>
        <w:tblInd w:w="9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34"/>
        <w:gridCol w:w="2070"/>
        <w:gridCol w:w="1906"/>
        <w:gridCol w:w="1620"/>
        <w:gridCol w:w="1785"/>
        <w:gridCol w:w="5924"/>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40" w:hRule="atLeast"/>
          <w:tblHeader/>
        </w:trPr>
        <w:tc>
          <w:tcPr>
            <w:tcW w:w="734" w:type="dxa"/>
            <w:tcBorders>
              <w:top w:val="single" w:color="000000" w:sz="4" w:space="0"/>
            </w:tcBorders>
            <w:noWrap/>
            <w:vAlign w:val="center"/>
          </w:tcPr>
          <w:p>
            <w:pPr>
              <w:keepNext w:val="0"/>
              <w:keepLines w:val="0"/>
              <w:widowControl/>
              <w:suppressLineNumbers w:val="0"/>
              <w:jc w:val="left"/>
              <w:textAlignment w:val="center"/>
              <w:rPr>
                <w:rFonts w:hint="default" w:ascii="Times New Roman" w:hAnsi="Times New Roman" w:eastAsia="黑体" w:cs="Times New Roman"/>
                <w:i w:val="0"/>
                <w:iCs w:val="0"/>
                <w:color w:val="000000"/>
                <w:sz w:val="24"/>
                <w:szCs w:val="24"/>
                <w:u w:val="none"/>
              </w:rPr>
            </w:pPr>
            <w:r>
              <w:rPr>
                <w:rFonts w:hint="default" w:ascii="Times New Roman" w:hAnsi="Times New Roman" w:eastAsia="黑体" w:cs="Times New Roman"/>
                <w:i w:val="0"/>
                <w:iCs w:val="0"/>
                <w:color w:val="000000"/>
                <w:kern w:val="0"/>
                <w:sz w:val="24"/>
                <w:szCs w:val="24"/>
                <w:u w:val="none"/>
                <w:lang w:val="en-US" w:eastAsia="zh-CN" w:bidi="ar"/>
              </w:rPr>
              <w:t>序号</w:t>
            </w:r>
          </w:p>
        </w:tc>
        <w:tc>
          <w:tcPr>
            <w:tcW w:w="2070" w:type="dxa"/>
            <w:tcBorders>
              <w:top w:val="single" w:color="000000" w:sz="4" w:space="0"/>
            </w:tcBorders>
            <w:noWrap w:val="0"/>
            <w:vAlign w:val="center"/>
          </w:tcPr>
          <w:p>
            <w:pPr>
              <w:keepNext w:val="0"/>
              <w:keepLines w:val="0"/>
              <w:widowControl/>
              <w:suppressLineNumbers w:val="0"/>
              <w:jc w:val="center"/>
              <w:textAlignment w:val="center"/>
              <w:rPr>
                <w:rFonts w:hint="default" w:ascii="Times New Roman" w:hAnsi="Times New Roman" w:eastAsia="黑体" w:cs="Times New Roman"/>
                <w:i w:val="0"/>
                <w:iCs w:val="0"/>
                <w:color w:val="000000"/>
                <w:sz w:val="24"/>
                <w:szCs w:val="24"/>
                <w:u w:val="none"/>
              </w:rPr>
            </w:pPr>
            <w:r>
              <w:rPr>
                <w:rFonts w:hint="default" w:ascii="Times New Roman" w:hAnsi="Times New Roman" w:eastAsia="黑体" w:cs="Times New Roman"/>
                <w:i w:val="0"/>
                <w:iCs w:val="0"/>
                <w:color w:val="000000"/>
                <w:kern w:val="0"/>
                <w:sz w:val="24"/>
                <w:szCs w:val="24"/>
                <w:u w:val="none"/>
                <w:lang w:val="en-US" w:eastAsia="zh-CN" w:bidi="ar"/>
              </w:rPr>
              <w:t>收费类别</w:t>
            </w:r>
          </w:p>
        </w:tc>
        <w:tc>
          <w:tcPr>
            <w:tcW w:w="1906" w:type="dxa"/>
            <w:tcBorders>
              <w:top w:val="single" w:color="000000" w:sz="4" w:space="0"/>
            </w:tcBorders>
            <w:noWrap w:val="0"/>
            <w:vAlign w:val="center"/>
          </w:tcPr>
          <w:p>
            <w:pPr>
              <w:keepNext w:val="0"/>
              <w:keepLines w:val="0"/>
              <w:widowControl/>
              <w:suppressLineNumbers w:val="0"/>
              <w:jc w:val="center"/>
              <w:textAlignment w:val="center"/>
              <w:rPr>
                <w:rFonts w:hint="default" w:ascii="Times New Roman" w:hAnsi="Times New Roman" w:eastAsia="黑体" w:cs="Times New Roman"/>
                <w:i w:val="0"/>
                <w:iCs w:val="0"/>
                <w:color w:val="000000"/>
                <w:sz w:val="24"/>
                <w:szCs w:val="24"/>
                <w:u w:val="none"/>
              </w:rPr>
            </w:pPr>
            <w:r>
              <w:rPr>
                <w:rFonts w:hint="default" w:ascii="Times New Roman" w:hAnsi="Times New Roman" w:eastAsia="黑体" w:cs="Times New Roman"/>
                <w:i w:val="0"/>
                <w:iCs w:val="0"/>
                <w:color w:val="000000"/>
                <w:kern w:val="0"/>
                <w:sz w:val="24"/>
                <w:szCs w:val="24"/>
                <w:u w:val="none"/>
                <w:lang w:val="en-US" w:eastAsia="zh-CN" w:bidi="ar"/>
              </w:rPr>
              <w:t>收费范围</w:t>
            </w:r>
          </w:p>
        </w:tc>
        <w:tc>
          <w:tcPr>
            <w:tcW w:w="1620" w:type="dxa"/>
            <w:tcBorders>
              <w:top w:val="single" w:color="000000" w:sz="4" w:space="0"/>
            </w:tcBorders>
            <w:noWrap w:val="0"/>
            <w:vAlign w:val="center"/>
          </w:tcPr>
          <w:p>
            <w:pPr>
              <w:keepNext w:val="0"/>
              <w:keepLines w:val="0"/>
              <w:widowControl/>
              <w:suppressLineNumbers w:val="0"/>
              <w:jc w:val="center"/>
              <w:textAlignment w:val="center"/>
              <w:rPr>
                <w:rFonts w:hint="default" w:ascii="Times New Roman" w:hAnsi="Times New Roman" w:eastAsia="黑体" w:cs="Times New Roman"/>
                <w:i w:val="0"/>
                <w:iCs w:val="0"/>
                <w:color w:val="000000"/>
                <w:sz w:val="24"/>
                <w:szCs w:val="24"/>
                <w:u w:val="none"/>
              </w:rPr>
            </w:pPr>
            <w:r>
              <w:rPr>
                <w:rFonts w:hint="default" w:ascii="Times New Roman" w:hAnsi="Times New Roman" w:eastAsia="黑体" w:cs="Times New Roman"/>
                <w:i w:val="0"/>
                <w:iCs w:val="0"/>
                <w:color w:val="000000"/>
                <w:kern w:val="0"/>
                <w:sz w:val="24"/>
                <w:szCs w:val="24"/>
                <w:u w:val="none"/>
                <w:lang w:val="en-US" w:eastAsia="zh-CN" w:bidi="ar"/>
              </w:rPr>
              <w:t>计费方式</w:t>
            </w:r>
          </w:p>
        </w:tc>
        <w:tc>
          <w:tcPr>
            <w:tcW w:w="1785" w:type="dxa"/>
            <w:tcBorders>
              <w:top w:val="single" w:color="000000" w:sz="4" w:space="0"/>
            </w:tcBorders>
            <w:noWrap w:val="0"/>
            <w:vAlign w:val="center"/>
          </w:tcPr>
          <w:p>
            <w:pPr>
              <w:keepNext w:val="0"/>
              <w:keepLines w:val="0"/>
              <w:widowControl/>
              <w:suppressLineNumbers w:val="0"/>
              <w:jc w:val="center"/>
              <w:textAlignment w:val="center"/>
              <w:rPr>
                <w:rFonts w:hint="default" w:ascii="Times New Roman" w:hAnsi="Times New Roman" w:eastAsia="黑体" w:cs="Times New Roman"/>
                <w:i w:val="0"/>
                <w:iCs w:val="0"/>
                <w:color w:val="000000"/>
                <w:sz w:val="24"/>
                <w:szCs w:val="24"/>
                <w:u w:val="none"/>
              </w:rPr>
            </w:pPr>
            <w:r>
              <w:rPr>
                <w:rFonts w:hint="default" w:ascii="Times New Roman" w:hAnsi="Times New Roman" w:eastAsia="黑体" w:cs="Times New Roman"/>
                <w:i w:val="0"/>
                <w:iCs w:val="0"/>
                <w:color w:val="000000"/>
                <w:kern w:val="0"/>
                <w:sz w:val="24"/>
                <w:szCs w:val="24"/>
                <w:u w:val="none"/>
                <w:lang w:val="en-US" w:eastAsia="zh-CN" w:bidi="ar"/>
              </w:rPr>
              <w:t>收费标准（元）</w:t>
            </w:r>
          </w:p>
        </w:tc>
        <w:tc>
          <w:tcPr>
            <w:tcW w:w="5924" w:type="dxa"/>
            <w:tcBorders>
              <w:top w:val="single" w:color="000000" w:sz="4" w:space="0"/>
            </w:tcBorders>
            <w:noWrap w:val="0"/>
            <w:vAlign w:val="center"/>
          </w:tcPr>
          <w:p>
            <w:pPr>
              <w:keepNext w:val="0"/>
              <w:keepLines w:val="0"/>
              <w:widowControl/>
              <w:suppressLineNumbers w:val="0"/>
              <w:jc w:val="center"/>
              <w:textAlignment w:val="center"/>
              <w:rPr>
                <w:rFonts w:hint="default" w:ascii="Times New Roman" w:hAnsi="Times New Roman" w:eastAsia="黑体" w:cs="Times New Roman"/>
                <w:i w:val="0"/>
                <w:iCs w:val="0"/>
                <w:color w:val="000000"/>
                <w:sz w:val="24"/>
                <w:szCs w:val="24"/>
                <w:u w:val="none"/>
              </w:rPr>
            </w:pPr>
            <w:r>
              <w:rPr>
                <w:rFonts w:hint="default" w:ascii="Times New Roman" w:hAnsi="Times New Roman" w:eastAsia="黑体" w:cs="Times New Roman"/>
                <w:i w:val="0"/>
                <w:iCs w:val="0"/>
                <w:color w:val="000000"/>
                <w:kern w:val="0"/>
                <w:sz w:val="24"/>
                <w:szCs w:val="24"/>
                <w:u w:val="none"/>
                <w:lang w:val="en-US" w:eastAsia="zh-CN" w:bidi="ar"/>
              </w:rPr>
              <w:t>备  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562" w:hRule="atLeast"/>
        </w:trPr>
        <w:tc>
          <w:tcPr>
            <w:tcW w:w="734" w:type="dxa"/>
            <w:noWrap/>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1</w:t>
            </w:r>
          </w:p>
        </w:tc>
        <w:tc>
          <w:tcPr>
            <w:tcW w:w="2070" w:type="dxa"/>
            <w:noWrap w:val="0"/>
            <w:vAlign w:val="center"/>
          </w:tcPr>
          <w:p>
            <w:pPr>
              <w:keepNext w:val="0"/>
              <w:keepLines w:val="0"/>
              <w:widowControl/>
              <w:suppressLineNumbers w:val="0"/>
              <w:jc w:val="both"/>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城镇居民</w:t>
            </w:r>
          </w:p>
        </w:tc>
        <w:tc>
          <w:tcPr>
            <w:tcW w:w="1906" w:type="dxa"/>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县城规划区内居民及暂住人口</w:t>
            </w:r>
          </w:p>
        </w:tc>
        <w:tc>
          <w:tcPr>
            <w:tcW w:w="1620" w:type="dxa"/>
            <w:noWrap w:val="0"/>
            <w:vAlign w:val="center"/>
          </w:tcPr>
          <w:p>
            <w:pPr>
              <w:keepNext w:val="0"/>
              <w:keepLines w:val="0"/>
              <w:widowControl/>
              <w:suppressLineNumbers w:val="0"/>
              <w:jc w:val="left"/>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以户为单位，按人收费</w:t>
            </w:r>
          </w:p>
        </w:tc>
        <w:tc>
          <w:tcPr>
            <w:tcW w:w="1785" w:type="dxa"/>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2元/人/月</w:t>
            </w:r>
          </w:p>
        </w:tc>
        <w:tc>
          <w:tcPr>
            <w:tcW w:w="5924" w:type="dxa"/>
            <w:noWrap w:val="0"/>
            <w:vAlign w:val="center"/>
          </w:tcPr>
          <w:p>
            <w:pPr>
              <w:keepNext w:val="0"/>
              <w:keepLines w:val="0"/>
              <w:widowControl/>
              <w:suppressLineNumbers w:val="0"/>
              <w:jc w:val="left"/>
              <w:textAlignment w:val="center"/>
              <w:rPr>
                <w:rFonts w:hint="default" w:ascii="Times New Roman" w:hAnsi="Times New Roman" w:eastAsia="仿宋_GB2312" w:cs="Times New Roman"/>
                <w:i w:val="0"/>
                <w:iCs w:val="0"/>
                <w:color w:val="000000"/>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1、</w:t>
            </w:r>
            <w:r>
              <w:rPr>
                <w:rStyle w:val="7"/>
                <w:rFonts w:hint="default" w:ascii="Times New Roman" w:hAnsi="Times New Roman" w:eastAsia="仿宋_GB2312" w:cs="Times New Roman"/>
                <w:sz w:val="24"/>
                <w:szCs w:val="24"/>
                <w:lang w:val="en-US" w:eastAsia="zh-CN" w:bidi="ar"/>
              </w:rPr>
              <w:t>对持证的残疾人、烈属、五保户、孤寡老人全额免收。</w:t>
            </w:r>
          </w:p>
          <w:p>
            <w:pPr>
              <w:keepNext w:val="0"/>
              <w:keepLines w:val="0"/>
              <w:widowControl/>
              <w:suppressLineNumbers w:val="0"/>
              <w:jc w:val="left"/>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2、</w:t>
            </w:r>
            <w:r>
              <w:rPr>
                <w:rStyle w:val="7"/>
                <w:rFonts w:hint="default" w:ascii="Times New Roman" w:hAnsi="Times New Roman" w:eastAsia="仿宋_GB2312" w:cs="Times New Roman"/>
                <w:sz w:val="24"/>
                <w:szCs w:val="24"/>
                <w:lang w:val="en-US" w:eastAsia="zh-CN" w:bidi="ar"/>
              </w:rPr>
              <w:t>对连续3个月以上不在县城居住者，经本人申报后可按实核减。</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255" w:hRule="atLeast"/>
        </w:trPr>
        <w:tc>
          <w:tcPr>
            <w:tcW w:w="734" w:type="dxa"/>
            <w:vMerge w:val="restart"/>
            <w:tcBorders>
              <w:tl2br w:val="nil"/>
              <w:tr2bl w:val="nil"/>
            </w:tcBorders>
            <w:noWrap/>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2</w:t>
            </w:r>
          </w:p>
        </w:tc>
        <w:tc>
          <w:tcPr>
            <w:tcW w:w="2070" w:type="dxa"/>
            <w:tcBorders>
              <w:tl2br w:val="nil"/>
              <w:tr2bl w:val="nil"/>
            </w:tcBorders>
            <w:noWrap w:val="0"/>
            <w:vAlign w:val="center"/>
          </w:tcPr>
          <w:p>
            <w:pPr>
              <w:keepNext w:val="0"/>
              <w:keepLines w:val="0"/>
              <w:widowControl/>
              <w:suppressLineNumbers w:val="0"/>
              <w:jc w:val="both"/>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行政事业单位、厂矿企业</w:t>
            </w:r>
          </w:p>
        </w:tc>
        <w:tc>
          <w:tcPr>
            <w:tcW w:w="1906"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县城各行政企事业单位（包括省、市驻城各单位）</w:t>
            </w:r>
          </w:p>
        </w:tc>
        <w:tc>
          <w:tcPr>
            <w:tcW w:w="1620" w:type="dxa"/>
            <w:tcBorders>
              <w:tl2br w:val="nil"/>
              <w:tr2bl w:val="nil"/>
            </w:tcBorders>
            <w:noWrap w:val="0"/>
            <w:vAlign w:val="center"/>
          </w:tcPr>
          <w:p>
            <w:pPr>
              <w:keepNext w:val="0"/>
              <w:keepLines w:val="0"/>
              <w:widowControl/>
              <w:suppressLineNumbers w:val="0"/>
              <w:jc w:val="left"/>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按房屋建筑面积</w:t>
            </w:r>
          </w:p>
        </w:tc>
        <w:tc>
          <w:tcPr>
            <w:tcW w:w="1785"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0.5元/㎡/月</w:t>
            </w:r>
          </w:p>
        </w:tc>
        <w:tc>
          <w:tcPr>
            <w:tcW w:w="5924" w:type="dxa"/>
            <w:tcBorders>
              <w:tl2br w:val="nil"/>
              <w:tr2bl w:val="nil"/>
            </w:tcBorders>
            <w:noWrap w:val="0"/>
            <w:vAlign w:val="center"/>
          </w:tcPr>
          <w:p>
            <w:pPr>
              <w:keepNext w:val="0"/>
              <w:keepLines w:val="0"/>
              <w:widowControl/>
              <w:suppressLineNumbers w:val="0"/>
              <w:jc w:val="left"/>
              <w:textAlignment w:val="center"/>
              <w:rPr>
                <w:rFonts w:hint="default" w:ascii="Times New Roman" w:hAnsi="Times New Roman" w:eastAsia="仿宋_GB2312" w:cs="Times New Roman"/>
                <w:i w:val="0"/>
                <w:iCs w:val="0"/>
                <w:color w:val="000000"/>
                <w:kern w:val="0"/>
                <w:sz w:val="24"/>
                <w:szCs w:val="24"/>
                <w:u w:val="none"/>
                <w:lang w:val="en-US" w:eastAsia="zh-CN" w:bidi="ar"/>
              </w:rPr>
            </w:pPr>
            <w:r>
              <w:rPr>
                <w:rFonts w:hint="default" w:ascii="Times New Roman" w:hAnsi="Times New Roman" w:eastAsia="仿宋_GB2312" w:cs="Times New Roman"/>
                <w:i w:val="0"/>
                <w:iCs w:val="0"/>
                <w:color w:val="000000"/>
                <w:kern w:val="0"/>
                <w:sz w:val="24"/>
                <w:szCs w:val="24"/>
                <w:u w:val="none"/>
                <w:lang w:val="en-US" w:eastAsia="zh-CN" w:bidi="ar"/>
              </w:rPr>
              <w:t>1、</w:t>
            </w:r>
            <w:r>
              <w:rPr>
                <w:rStyle w:val="7"/>
                <w:rFonts w:hint="default" w:ascii="Times New Roman" w:hAnsi="Times New Roman" w:eastAsia="仿宋_GB2312" w:cs="Times New Roman"/>
                <w:sz w:val="24"/>
                <w:szCs w:val="24"/>
                <w:lang w:val="en-US" w:eastAsia="zh-CN" w:bidi="ar"/>
              </w:rPr>
              <w:t>院内斗、围的垃圾由环卫部门清运。</w:t>
            </w:r>
          </w:p>
          <w:p>
            <w:pPr>
              <w:keepNext w:val="0"/>
              <w:keepLines w:val="0"/>
              <w:widowControl/>
              <w:suppressLineNumbers w:val="0"/>
              <w:jc w:val="left"/>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2、厂矿企业、事业单位只限办公楼区，不包括生产经营区。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15" w:hRule="atLeast"/>
        </w:trPr>
        <w:tc>
          <w:tcPr>
            <w:tcW w:w="734" w:type="dxa"/>
            <w:vMerge w:val="continue"/>
            <w:tcBorders>
              <w:tl2br w:val="nil"/>
              <w:tr2bl w:val="nil"/>
            </w:tcBorders>
            <w:noWrap/>
            <w:vAlign w:val="center"/>
          </w:tcPr>
          <w:p>
            <w:pPr>
              <w:jc w:val="center"/>
              <w:rPr>
                <w:rFonts w:hint="default" w:ascii="Times New Roman" w:hAnsi="Times New Roman" w:eastAsia="仿宋_GB2312" w:cs="Times New Roman"/>
                <w:i w:val="0"/>
                <w:iCs w:val="0"/>
                <w:color w:val="000000"/>
                <w:sz w:val="24"/>
                <w:szCs w:val="24"/>
                <w:u w:val="none"/>
              </w:rPr>
            </w:pPr>
          </w:p>
        </w:tc>
        <w:tc>
          <w:tcPr>
            <w:tcW w:w="2070" w:type="dxa"/>
            <w:tcBorders>
              <w:tl2br w:val="nil"/>
              <w:tr2bl w:val="nil"/>
            </w:tcBorders>
            <w:noWrap w:val="0"/>
            <w:vAlign w:val="center"/>
          </w:tcPr>
          <w:p>
            <w:pPr>
              <w:keepNext w:val="0"/>
              <w:keepLines w:val="0"/>
              <w:widowControl/>
              <w:suppressLineNumbers w:val="0"/>
              <w:jc w:val="both"/>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学校（含幼儿园）</w:t>
            </w:r>
          </w:p>
        </w:tc>
        <w:tc>
          <w:tcPr>
            <w:tcW w:w="1906"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县城各类中（小）学校、幼儿园</w:t>
            </w:r>
          </w:p>
        </w:tc>
        <w:tc>
          <w:tcPr>
            <w:tcW w:w="1620" w:type="dxa"/>
            <w:tcBorders>
              <w:tl2br w:val="nil"/>
              <w:tr2bl w:val="nil"/>
            </w:tcBorders>
            <w:noWrap w:val="0"/>
            <w:vAlign w:val="center"/>
          </w:tcPr>
          <w:p>
            <w:pPr>
              <w:keepNext w:val="0"/>
              <w:keepLines w:val="0"/>
              <w:widowControl/>
              <w:suppressLineNumbers w:val="0"/>
              <w:jc w:val="left"/>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按房屋建筑面积</w:t>
            </w:r>
          </w:p>
        </w:tc>
        <w:tc>
          <w:tcPr>
            <w:tcW w:w="1785"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0.25元㎡/月</w:t>
            </w:r>
          </w:p>
        </w:tc>
        <w:tc>
          <w:tcPr>
            <w:tcW w:w="5924" w:type="dxa"/>
            <w:tcBorders>
              <w:tl2br w:val="nil"/>
              <w:tr2bl w:val="nil"/>
            </w:tcBorders>
            <w:noWrap w:val="0"/>
            <w:vAlign w:val="center"/>
          </w:tcPr>
          <w:p>
            <w:pPr>
              <w:jc w:val="left"/>
              <w:rPr>
                <w:rFonts w:hint="default" w:ascii="Times New Roman" w:hAnsi="Times New Roman" w:eastAsia="仿宋_GB2312" w:cs="Times New Roman"/>
                <w:i w:val="0"/>
                <w:iCs w:val="0"/>
                <w:color w:val="000000"/>
                <w:sz w:val="24"/>
                <w:szCs w:val="24"/>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125" w:hRule="atLeast"/>
        </w:trPr>
        <w:tc>
          <w:tcPr>
            <w:tcW w:w="734" w:type="dxa"/>
            <w:vMerge w:val="continue"/>
            <w:tcBorders>
              <w:tl2br w:val="nil"/>
              <w:tr2bl w:val="nil"/>
            </w:tcBorders>
            <w:noWrap/>
            <w:vAlign w:val="center"/>
          </w:tcPr>
          <w:p>
            <w:pPr>
              <w:jc w:val="center"/>
              <w:rPr>
                <w:rFonts w:hint="default" w:ascii="Times New Roman" w:hAnsi="Times New Roman" w:eastAsia="仿宋_GB2312" w:cs="Times New Roman"/>
                <w:i w:val="0"/>
                <w:iCs w:val="0"/>
                <w:color w:val="000000"/>
                <w:sz w:val="24"/>
                <w:szCs w:val="24"/>
                <w:u w:val="none"/>
              </w:rPr>
            </w:pPr>
          </w:p>
        </w:tc>
        <w:tc>
          <w:tcPr>
            <w:tcW w:w="2070" w:type="dxa"/>
            <w:vMerge w:val="restart"/>
            <w:tcBorders>
              <w:tl2br w:val="nil"/>
              <w:tr2bl w:val="nil"/>
            </w:tcBorders>
            <w:noWrap w:val="0"/>
            <w:vAlign w:val="center"/>
          </w:tcPr>
          <w:p>
            <w:pPr>
              <w:keepNext w:val="0"/>
              <w:keepLines w:val="0"/>
              <w:widowControl/>
              <w:suppressLineNumbers w:val="0"/>
              <w:jc w:val="both"/>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医  院</w:t>
            </w:r>
          </w:p>
        </w:tc>
        <w:tc>
          <w:tcPr>
            <w:tcW w:w="1906"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办公场地</w:t>
            </w:r>
          </w:p>
        </w:tc>
        <w:tc>
          <w:tcPr>
            <w:tcW w:w="1620" w:type="dxa"/>
            <w:tcBorders>
              <w:tl2br w:val="nil"/>
              <w:tr2bl w:val="nil"/>
            </w:tcBorders>
            <w:noWrap w:val="0"/>
            <w:vAlign w:val="center"/>
          </w:tcPr>
          <w:p>
            <w:pPr>
              <w:keepNext w:val="0"/>
              <w:keepLines w:val="0"/>
              <w:widowControl/>
              <w:suppressLineNumbers w:val="0"/>
              <w:jc w:val="left"/>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按房屋建筑面积</w:t>
            </w:r>
          </w:p>
        </w:tc>
        <w:tc>
          <w:tcPr>
            <w:tcW w:w="1785"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0.5元/㎡/月</w:t>
            </w:r>
          </w:p>
        </w:tc>
        <w:tc>
          <w:tcPr>
            <w:tcW w:w="5924" w:type="dxa"/>
            <w:tcBorders>
              <w:tl2br w:val="nil"/>
              <w:tr2bl w:val="nil"/>
            </w:tcBorders>
            <w:noWrap w:val="0"/>
            <w:vAlign w:val="center"/>
          </w:tcPr>
          <w:p>
            <w:pPr>
              <w:jc w:val="left"/>
              <w:rPr>
                <w:rFonts w:hint="default" w:ascii="Times New Roman" w:hAnsi="Times New Roman" w:eastAsia="仿宋_GB2312" w:cs="Times New Roman"/>
                <w:i w:val="0"/>
                <w:iCs w:val="0"/>
                <w:color w:val="000000"/>
                <w:sz w:val="24"/>
                <w:szCs w:val="24"/>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175" w:hRule="atLeast"/>
        </w:trPr>
        <w:tc>
          <w:tcPr>
            <w:tcW w:w="734" w:type="dxa"/>
            <w:vMerge w:val="continue"/>
            <w:tcBorders>
              <w:tl2br w:val="nil"/>
              <w:tr2bl w:val="nil"/>
            </w:tcBorders>
            <w:noWrap/>
            <w:vAlign w:val="center"/>
          </w:tcPr>
          <w:p>
            <w:pPr>
              <w:jc w:val="center"/>
              <w:rPr>
                <w:rFonts w:hint="default" w:ascii="Times New Roman" w:hAnsi="Times New Roman" w:eastAsia="仿宋_GB2312" w:cs="Times New Roman"/>
                <w:i w:val="0"/>
                <w:iCs w:val="0"/>
                <w:color w:val="000000"/>
                <w:sz w:val="24"/>
                <w:szCs w:val="24"/>
                <w:u w:val="none"/>
              </w:rPr>
            </w:pPr>
          </w:p>
        </w:tc>
        <w:tc>
          <w:tcPr>
            <w:tcW w:w="2070" w:type="dxa"/>
            <w:vMerge w:val="continue"/>
            <w:tcBorders>
              <w:tl2br w:val="nil"/>
              <w:tr2bl w:val="nil"/>
            </w:tcBorders>
            <w:noWrap w:val="0"/>
            <w:vAlign w:val="center"/>
          </w:tcPr>
          <w:p>
            <w:pPr>
              <w:jc w:val="both"/>
              <w:rPr>
                <w:rFonts w:hint="default" w:ascii="Times New Roman" w:hAnsi="Times New Roman" w:eastAsia="仿宋_GB2312" w:cs="Times New Roman"/>
                <w:i w:val="0"/>
                <w:iCs w:val="0"/>
                <w:color w:val="000000"/>
                <w:sz w:val="24"/>
                <w:szCs w:val="24"/>
                <w:u w:val="none"/>
              </w:rPr>
            </w:pPr>
          </w:p>
        </w:tc>
        <w:tc>
          <w:tcPr>
            <w:tcW w:w="1906"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病  床</w:t>
            </w:r>
          </w:p>
        </w:tc>
        <w:tc>
          <w:tcPr>
            <w:tcW w:w="1620" w:type="dxa"/>
            <w:tcBorders>
              <w:tl2br w:val="nil"/>
              <w:tr2bl w:val="nil"/>
            </w:tcBorders>
            <w:noWrap w:val="0"/>
            <w:vAlign w:val="center"/>
          </w:tcPr>
          <w:p>
            <w:pPr>
              <w:keepNext w:val="0"/>
              <w:keepLines w:val="0"/>
              <w:widowControl/>
              <w:suppressLineNumbers w:val="0"/>
              <w:jc w:val="left"/>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按床位数量</w:t>
            </w:r>
          </w:p>
        </w:tc>
        <w:tc>
          <w:tcPr>
            <w:tcW w:w="1785"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1元/床</w:t>
            </w:r>
          </w:p>
        </w:tc>
        <w:tc>
          <w:tcPr>
            <w:tcW w:w="5924" w:type="dxa"/>
            <w:tcBorders>
              <w:tl2br w:val="nil"/>
              <w:tr2bl w:val="nil"/>
            </w:tcBorders>
            <w:noWrap w:val="0"/>
            <w:vAlign w:val="center"/>
          </w:tcPr>
          <w:p>
            <w:pPr>
              <w:keepNext w:val="0"/>
              <w:keepLines w:val="0"/>
              <w:widowControl/>
              <w:suppressLineNumbers w:val="0"/>
              <w:jc w:val="left"/>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不得向病人收取。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85" w:hRule="atLeast"/>
        </w:trPr>
        <w:tc>
          <w:tcPr>
            <w:tcW w:w="734" w:type="dxa"/>
            <w:vMerge w:val="restart"/>
            <w:tcBorders>
              <w:tl2br w:val="nil"/>
              <w:tr2bl w:val="nil"/>
            </w:tcBorders>
            <w:noWrap/>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3</w:t>
            </w:r>
          </w:p>
        </w:tc>
        <w:tc>
          <w:tcPr>
            <w:tcW w:w="2070" w:type="dxa"/>
            <w:vMerge w:val="restart"/>
            <w:tcBorders>
              <w:tl2br w:val="nil"/>
              <w:tr2bl w:val="nil"/>
            </w:tcBorders>
            <w:noWrap w:val="0"/>
            <w:vAlign w:val="center"/>
          </w:tcPr>
          <w:p>
            <w:pPr>
              <w:keepNext w:val="0"/>
              <w:keepLines w:val="0"/>
              <w:widowControl/>
              <w:suppressLineNumbers w:val="0"/>
              <w:jc w:val="both"/>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营运交通工具</w:t>
            </w:r>
          </w:p>
        </w:tc>
        <w:tc>
          <w:tcPr>
            <w:tcW w:w="1906" w:type="dxa"/>
            <w:tcBorders>
              <w:tl2br w:val="nil"/>
              <w:tr2bl w:val="nil"/>
            </w:tcBorders>
            <w:noWrap w:val="0"/>
            <w:vAlign w:val="center"/>
          </w:tcPr>
          <w:p>
            <w:pPr>
              <w:keepNext w:val="0"/>
              <w:keepLines w:val="0"/>
              <w:widowControl/>
              <w:suppressLineNumbers w:val="0"/>
              <w:jc w:val="left"/>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大客车、大货车</w:t>
            </w:r>
          </w:p>
        </w:tc>
        <w:tc>
          <w:tcPr>
            <w:tcW w:w="1620" w:type="dxa"/>
            <w:vMerge w:val="restar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按车辆经营类型</w:t>
            </w:r>
          </w:p>
        </w:tc>
        <w:tc>
          <w:tcPr>
            <w:tcW w:w="1785"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20元/台/月</w:t>
            </w:r>
          </w:p>
        </w:tc>
        <w:tc>
          <w:tcPr>
            <w:tcW w:w="5924" w:type="dxa"/>
            <w:vMerge w:val="restart"/>
            <w:tcBorders>
              <w:tl2br w:val="nil"/>
              <w:tr2bl w:val="nil"/>
            </w:tcBorders>
            <w:noWrap w:val="0"/>
            <w:vAlign w:val="center"/>
          </w:tcPr>
          <w:p>
            <w:pPr>
              <w:jc w:val="left"/>
              <w:rPr>
                <w:rFonts w:hint="default" w:ascii="Times New Roman" w:hAnsi="Times New Roman" w:eastAsia="仿宋_GB2312" w:cs="Times New Roman"/>
                <w:i w:val="0"/>
                <w:iCs w:val="0"/>
                <w:color w:val="000000"/>
                <w:sz w:val="24"/>
                <w:szCs w:val="24"/>
                <w:u w:val="none"/>
                <w:lang w:val="en-US" w:eastAsia="zh-CN"/>
              </w:rPr>
            </w:pPr>
            <w:r>
              <w:rPr>
                <w:rFonts w:hint="default" w:ascii="Times New Roman" w:hAnsi="Times New Roman" w:eastAsia="仿宋_GB2312" w:cs="Times New Roman"/>
                <w:i w:val="0"/>
                <w:iCs w:val="0"/>
                <w:color w:val="000000"/>
                <w:sz w:val="24"/>
                <w:szCs w:val="24"/>
                <w:u w:val="none"/>
                <w:lang w:val="en-US" w:eastAsia="zh-CN"/>
              </w:rPr>
              <w:t>限县城各种车辆及外地驻城车辆或爱城三个月以上的车辆严禁向过往车辆收取。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5" w:hRule="atLeast"/>
        </w:trPr>
        <w:tc>
          <w:tcPr>
            <w:tcW w:w="734" w:type="dxa"/>
            <w:vMerge w:val="continue"/>
            <w:tcBorders>
              <w:tl2br w:val="nil"/>
              <w:tr2bl w:val="nil"/>
            </w:tcBorders>
            <w:noWrap/>
            <w:vAlign w:val="center"/>
          </w:tcPr>
          <w:p>
            <w:pPr>
              <w:jc w:val="center"/>
              <w:rPr>
                <w:rFonts w:hint="default" w:ascii="Times New Roman" w:hAnsi="Times New Roman" w:eastAsia="仿宋_GB2312" w:cs="Times New Roman"/>
                <w:i w:val="0"/>
                <w:iCs w:val="0"/>
                <w:color w:val="000000"/>
                <w:sz w:val="24"/>
                <w:szCs w:val="24"/>
                <w:u w:val="none"/>
              </w:rPr>
            </w:pPr>
          </w:p>
        </w:tc>
        <w:tc>
          <w:tcPr>
            <w:tcW w:w="2070" w:type="dxa"/>
            <w:vMerge w:val="continue"/>
            <w:tcBorders>
              <w:tl2br w:val="nil"/>
              <w:tr2bl w:val="nil"/>
            </w:tcBorders>
            <w:noWrap w:val="0"/>
            <w:vAlign w:val="center"/>
          </w:tcPr>
          <w:p>
            <w:pPr>
              <w:jc w:val="both"/>
              <w:rPr>
                <w:rFonts w:hint="default" w:ascii="Times New Roman" w:hAnsi="Times New Roman" w:eastAsia="仿宋_GB2312" w:cs="Times New Roman"/>
                <w:i w:val="0"/>
                <w:iCs w:val="0"/>
                <w:color w:val="000000"/>
                <w:sz w:val="24"/>
                <w:szCs w:val="24"/>
                <w:u w:val="none"/>
              </w:rPr>
            </w:pPr>
          </w:p>
        </w:tc>
        <w:tc>
          <w:tcPr>
            <w:tcW w:w="1906" w:type="dxa"/>
            <w:tcBorders>
              <w:tl2br w:val="nil"/>
              <w:tr2bl w:val="nil"/>
            </w:tcBorders>
            <w:noWrap w:val="0"/>
            <w:vAlign w:val="center"/>
          </w:tcPr>
          <w:p>
            <w:pPr>
              <w:keepNext w:val="0"/>
              <w:keepLines w:val="0"/>
              <w:widowControl/>
              <w:suppressLineNumbers w:val="0"/>
              <w:jc w:val="left"/>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中巴车、小车</w:t>
            </w:r>
          </w:p>
        </w:tc>
        <w:tc>
          <w:tcPr>
            <w:tcW w:w="1620" w:type="dxa"/>
            <w:vMerge w:val="continue"/>
            <w:tcBorders>
              <w:tl2br w:val="nil"/>
              <w:tr2bl w:val="nil"/>
            </w:tcBorders>
            <w:noWrap w:val="0"/>
            <w:vAlign w:val="center"/>
          </w:tcPr>
          <w:p>
            <w:pPr>
              <w:jc w:val="center"/>
              <w:rPr>
                <w:rFonts w:hint="default" w:ascii="Times New Roman" w:hAnsi="Times New Roman" w:eastAsia="仿宋_GB2312" w:cs="Times New Roman"/>
                <w:i w:val="0"/>
                <w:iCs w:val="0"/>
                <w:color w:val="000000"/>
                <w:sz w:val="24"/>
                <w:szCs w:val="24"/>
                <w:u w:val="none"/>
              </w:rPr>
            </w:pPr>
          </w:p>
        </w:tc>
        <w:tc>
          <w:tcPr>
            <w:tcW w:w="1785"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10元/台/月</w:t>
            </w:r>
          </w:p>
        </w:tc>
        <w:tc>
          <w:tcPr>
            <w:tcW w:w="5924" w:type="dxa"/>
            <w:vMerge w:val="continue"/>
            <w:tcBorders>
              <w:tl2br w:val="nil"/>
              <w:tr2bl w:val="nil"/>
            </w:tcBorders>
            <w:noWrap w:val="0"/>
            <w:vAlign w:val="center"/>
          </w:tcPr>
          <w:p>
            <w:pPr>
              <w:jc w:val="left"/>
              <w:rPr>
                <w:rFonts w:hint="default" w:ascii="Times New Roman" w:hAnsi="Times New Roman" w:eastAsia="仿宋_GB2312" w:cs="Times New Roman"/>
                <w:i w:val="0"/>
                <w:iCs w:val="0"/>
                <w:color w:val="000000"/>
                <w:sz w:val="24"/>
                <w:szCs w:val="24"/>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70" w:hRule="atLeast"/>
        </w:trPr>
        <w:tc>
          <w:tcPr>
            <w:tcW w:w="734" w:type="dxa"/>
            <w:vMerge w:val="continue"/>
            <w:tcBorders>
              <w:tl2br w:val="nil"/>
              <w:tr2bl w:val="nil"/>
            </w:tcBorders>
            <w:noWrap/>
            <w:vAlign w:val="center"/>
          </w:tcPr>
          <w:p>
            <w:pPr>
              <w:jc w:val="center"/>
              <w:rPr>
                <w:rFonts w:hint="default" w:ascii="Times New Roman" w:hAnsi="Times New Roman" w:eastAsia="仿宋_GB2312" w:cs="Times New Roman"/>
                <w:i w:val="0"/>
                <w:iCs w:val="0"/>
                <w:color w:val="000000"/>
                <w:sz w:val="24"/>
                <w:szCs w:val="24"/>
                <w:u w:val="none"/>
              </w:rPr>
            </w:pPr>
          </w:p>
        </w:tc>
        <w:tc>
          <w:tcPr>
            <w:tcW w:w="2070" w:type="dxa"/>
            <w:vMerge w:val="continue"/>
            <w:tcBorders>
              <w:tl2br w:val="nil"/>
              <w:tr2bl w:val="nil"/>
            </w:tcBorders>
            <w:noWrap w:val="0"/>
            <w:vAlign w:val="center"/>
          </w:tcPr>
          <w:p>
            <w:pPr>
              <w:jc w:val="both"/>
              <w:rPr>
                <w:rFonts w:hint="default" w:ascii="Times New Roman" w:hAnsi="Times New Roman" w:eastAsia="仿宋_GB2312" w:cs="Times New Roman"/>
                <w:i w:val="0"/>
                <w:iCs w:val="0"/>
                <w:color w:val="000000"/>
                <w:sz w:val="24"/>
                <w:szCs w:val="24"/>
                <w:u w:val="none"/>
              </w:rPr>
            </w:pPr>
          </w:p>
        </w:tc>
        <w:tc>
          <w:tcPr>
            <w:tcW w:w="1906" w:type="dxa"/>
            <w:tcBorders>
              <w:tl2br w:val="nil"/>
              <w:tr2bl w:val="nil"/>
            </w:tcBorders>
            <w:noWrap w:val="0"/>
            <w:vAlign w:val="center"/>
          </w:tcPr>
          <w:p>
            <w:pPr>
              <w:keepNext w:val="0"/>
              <w:keepLines w:val="0"/>
              <w:widowControl/>
              <w:suppressLineNumbers w:val="0"/>
              <w:jc w:val="left"/>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农用车</w:t>
            </w:r>
          </w:p>
        </w:tc>
        <w:tc>
          <w:tcPr>
            <w:tcW w:w="1620" w:type="dxa"/>
            <w:vMerge w:val="continue"/>
            <w:tcBorders>
              <w:tl2br w:val="nil"/>
              <w:tr2bl w:val="nil"/>
            </w:tcBorders>
            <w:noWrap w:val="0"/>
            <w:vAlign w:val="center"/>
          </w:tcPr>
          <w:p>
            <w:pPr>
              <w:jc w:val="center"/>
              <w:rPr>
                <w:rFonts w:hint="default" w:ascii="Times New Roman" w:hAnsi="Times New Roman" w:eastAsia="仿宋_GB2312" w:cs="Times New Roman"/>
                <w:i w:val="0"/>
                <w:iCs w:val="0"/>
                <w:color w:val="000000"/>
                <w:sz w:val="24"/>
                <w:szCs w:val="24"/>
                <w:u w:val="none"/>
              </w:rPr>
            </w:pPr>
          </w:p>
        </w:tc>
        <w:tc>
          <w:tcPr>
            <w:tcW w:w="1785"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7元/台/月</w:t>
            </w:r>
          </w:p>
        </w:tc>
        <w:tc>
          <w:tcPr>
            <w:tcW w:w="5924" w:type="dxa"/>
            <w:vMerge w:val="continue"/>
            <w:tcBorders>
              <w:tl2br w:val="nil"/>
              <w:tr2bl w:val="nil"/>
            </w:tcBorders>
            <w:noWrap w:val="0"/>
            <w:vAlign w:val="center"/>
          </w:tcPr>
          <w:p>
            <w:pPr>
              <w:jc w:val="left"/>
              <w:rPr>
                <w:rFonts w:hint="default" w:ascii="Times New Roman" w:hAnsi="Times New Roman" w:eastAsia="仿宋_GB2312" w:cs="Times New Roman"/>
                <w:i w:val="0"/>
                <w:iCs w:val="0"/>
                <w:color w:val="000000"/>
                <w:sz w:val="24"/>
                <w:szCs w:val="24"/>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10" w:hRule="atLeast"/>
        </w:trPr>
        <w:tc>
          <w:tcPr>
            <w:tcW w:w="734" w:type="dxa"/>
            <w:vMerge w:val="continue"/>
            <w:tcBorders>
              <w:tl2br w:val="nil"/>
              <w:tr2bl w:val="nil"/>
            </w:tcBorders>
            <w:noWrap/>
            <w:vAlign w:val="center"/>
          </w:tcPr>
          <w:p>
            <w:pPr>
              <w:jc w:val="center"/>
              <w:rPr>
                <w:rFonts w:hint="default" w:ascii="Times New Roman" w:hAnsi="Times New Roman" w:eastAsia="仿宋_GB2312" w:cs="Times New Roman"/>
                <w:i w:val="0"/>
                <w:iCs w:val="0"/>
                <w:color w:val="000000"/>
                <w:sz w:val="24"/>
                <w:szCs w:val="24"/>
                <w:u w:val="none"/>
              </w:rPr>
            </w:pPr>
          </w:p>
        </w:tc>
        <w:tc>
          <w:tcPr>
            <w:tcW w:w="2070" w:type="dxa"/>
            <w:vMerge w:val="continue"/>
            <w:tcBorders>
              <w:tl2br w:val="nil"/>
              <w:tr2bl w:val="nil"/>
            </w:tcBorders>
            <w:noWrap w:val="0"/>
            <w:vAlign w:val="center"/>
          </w:tcPr>
          <w:p>
            <w:pPr>
              <w:jc w:val="both"/>
              <w:rPr>
                <w:rFonts w:hint="default" w:ascii="Times New Roman" w:hAnsi="Times New Roman" w:eastAsia="仿宋_GB2312" w:cs="Times New Roman"/>
                <w:i w:val="0"/>
                <w:iCs w:val="0"/>
                <w:color w:val="000000"/>
                <w:sz w:val="24"/>
                <w:szCs w:val="24"/>
                <w:u w:val="none"/>
              </w:rPr>
            </w:pPr>
          </w:p>
        </w:tc>
        <w:tc>
          <w:tcPr>
            <w:tcW w:w="1906" w:type="dxa"/>
            <w:tcBorders>
              <w:tl2br w:val="nil"/>
              <w:tr2bl w:val="nil"/>
            </w:tcBorders>
            <w:noWrap w:val="0"/>
            <w:vAlign w:val="center"/>
          </w:tcPr>
          <w:p>
            <w:pPr>
              <w:keepNext w:val="0"/>
              <w:keepLines w:val="0"/>
              <w:widowControl/>
              <w:suppressLineNumbers w:val="0"/>
              <w:jc w:val="left"/>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手扶拖拉机</w:t>
            </w:r>
          </w:p>
        </w:tc>
        <w:tc>
          <w:tcPr>
            <w:tcW w:w="1620" w:type="dxa"/>
            <w:vMerge w:val="continue"/>
            <w:tcBorders>
              <w:tl2br w:val="nil"/>
              <w:tr2bl w:val="nil"/>
            </w:tcBorders>
            <w:noWrap w:val="0"/>
            <w:vAlign w:val="center"/>
          </w:tcPr>
          <w:p>
            <w:pPr>
              <w:jc w:val="center"/>
              <w:rPr>
                <w:rFonts w:hint="default" w:ascii="Times New Roman" w:hAnsi="Times New Roman" w:eastAsia="仿宋_GB2312" w:cs="Times New Roman"/>
                <w:i w:val="0"/>
                <w:iCs w:val="0"/>
                <w:color w:val="000000"/>
                <w:sz w:val="24"/>
                <w:szCs w:val="24"/>
                <w:u w:val="none"/>
              </w:rPr>
            </w:pPr>
          </w:p>
        </w:tc>
        <w:tc>
          <w:tcPr>
            <w:tcW w:w="1785"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5元/台/月</w:t>
            </w:r>
          </w:p>
        </w:tc>
        <w:tc>
          <w:tcPr>
            <w:tcW w:w="5924" w:type="dxa"/>
            <w:vMerge w:val="continue"/>
            <w:tcBorders>
              <w:tl2br w:val="nil"/>
              <w:tr2bl w:val="nil"/>
            </w:tcBorders>
            <w:noWrap w:val="0"/>
            <w:vAlign w:val="center"/>
          </w:tcPr>
          <w:p>
            <w:pPr>
              <w:jc w:val="left"/>
              <w:rPr>
                <w:rFonts w:hint="default" w:ascii="Times New Roman" w:hAnsi="Times New Roman" w:eastAsia="仿宋_GB2312" w:cs="Times New Roman"/>
                <w:i w:val="0"/>
                <w:iCs w:val="0"/>
                <w:color w:val="000000"/>
                <w:sz w:val="24"/>
                <w:szCs w:val="24"/>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00" w:hRule="atLeast"/>
        </w:trPr>
        <w:tc>
          <w:tcPr>
            <w:tcW w:w="734" w:type="dxa"/>
            <w:vMerge w:val="continue"/>
            <w:tcBorders>
              <w:tl2br w:val="nil"/>
              <w:tr2bl w:val="nil"/>
            </w:tcBorders>
            <w:noWrap/>
            <w:vAlign w:val="center"/>
          </w:tcPr>
          <w:p>
            <w:pPr>
              <w:jc w:val="center"/>
              <w:rPr>
                <w:rFonts w:hint="default" w:ascii="Times New Roman" w:hAnsi="Times New Roman" w:eastAsia="仿宋_GB2312" w:cs="Times New Roman"/>
                <w:i w:val="0"/>
                <w:iCs w:val="0"/>
                <w:color w:val="000000"/>
                <w:sz w:val="24"/>
                <w:szCs w:val="24"/>
                <w:u w:val="none"/>
              </w:rPr>
            </w:pPr>
          </w:p>
        </w:tc>
        <w:tc>
          <w:tcPr>
            <w:tcW w:w="2070" w:type="dxa"/>
            <w:vMerge w:val="continue"/>
            <w:tcBorders>
              <w:tl2br w:val="nil"/>
              <w:tr2bl w:val="nil"/>
            </w:tcBorders>
            <w:noWrap w:val="0"/>
            <w:vAlign w:val="center"/>
          </w:tcPr>
          <w:p>
            <w:pPr>
              <w:jc w:val="both"/>
              <w:rPr>
                <w:rFonts w:hint="default" w:ascii="Times New Roman" w:hAnsi="Times New Roman" w:eastAsia="仿宋_GB2312" w:cs="Times New Roman"/>
                <w:i w:val="0"/>
                <w:iCs w:val="0"/>
                <w:color w:val="000000"/>
                <w:sz w:val="24"/>
                <w:szCs w:val="24"/>
                <w:u w:val="none"/>
              </w:rPr>
            </w:pPr>
          </w:p>
        </w:tc>
        <w:tc>
          <w:tcPr>
            <w:tcW w:w="1906" w:type="dxa"/>
            <w:tcBorders>
              <w:tl2br w:val="nil"/>
              <w:tr2bl w:val="nil"/>
            </w:tcBorders>
            <w:noWrap w:val="0"/>
            <w:vAlign w:val="center"/>
          </w:tcPr>
          <w:p>
            <w:pPr>
              <w:keepNext w:val="0"/>
              <w:keepLines w:val="0"/>
              <w:widowControl/>
              <w:suppressLineNumbers w:val="0"/>
              <w:jc w:val="left"/>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营业性三轮摩托车</w:t>
            </w:r>
          </w:p>
        </w:tc>
        <w:tc>
          <w:tcPr>
            <w:tcW w:w="1620" w:type="dxa"/>
            <w:vMerge w:val="continue"/>
            <w:tcBorders>
              <w:tl2br w:val="nil"/>
              <w:tr2bl w:val="nil"/>
            </w:tcBorders>
            <w:noWrap w:val="0"/>
            <w:vAlign w:val="center"/>
          </w:tcPr>
          <w:p>
            <w:pPr>
              <w:jc w:val="center"/>
              <w:rPr>
                <w:rFonts w:hint="default" w:ascii="Times New Roman" w:hAnsi="Times New Roman" w:eastAsia="仿宋_GB2312" w:cs="Times New Roman"/>
                <w:i w:val="0"/>
                <w:iCs w:val="0"/>
                <w:color w:val="000000"/>
                <w:sz w:val="24"/>
                <w:szCs w:val="24"/>
                <w:u w:val="none"/>
              </w:rPr>
            </w:pPr>
          </w:p>
        </w:tc>
        <w:tc>
          <w:tcPr>
            <w:tcW w:w="1785"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3元/台/月</w:t>
            </w:r>
          </w:p>
        </w:tc>
        <w:tc>
          <w:tcPr>
            <w:tcW w:w="5924" w:type="dxa"/>
            <w:vMerge w:val="continue"/>
            <w:tcBorders>
              <w:tl2br w:val="nil"/>
              <w:tr2bl w:val="nil"/>
            </w:tcBorders>
            <w:noWrap w:val="0"/>
            <w:vAlign w:val="center"/>
          </w:tcPr>
          <w:p>
            <w:pPr>
              <w:jc w:val="left"/>
              <w:rPr>
                <w:rFonts w:hint="default" w:ascii="Times New Roman" w:hAnsi="Times New Roman" w:eastAsia="仿宋_GB2312" w:cs="Times New Roman"/>
                <w:i w:val="0"/>
                <w:iCs w:val="0"/>
                <w:color w:val="000000"/>
                <w:sz w:val="24"/>
                <w:szCs w:val="24"/>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00" w:hRule="atLeast"/>
        </w:trPr>
        <w:tc>
          <w:tcPr>
            <w:tcW w:w="734" w:type="dxa"/>
            <w:vMerge w:val="restart"/>
            <w:tcBorders>
              <w:tl2br w:val="nil"/>
              <w:tr2bl w:val="nil"/>
            </w:tcBorders>
            <w:noWrap/>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4</w:t>
            </w:r>
          </w:p>
        </w:tc>
        <w:tc>
          <w:tcPr>
            <w:tcW w:w="2070" w:type="dxa"/>
            <w:vMerge w:val="restart"/>
            <w:tcBorders>
              <w:tl2br w:val="nil"/>
              <w:tr2bl w:val="nil"/>
            </w:tcBorders>
            <w:noWrap w:val="0"/>
            <w:vAlign w:val="center"/>
          </w:tcPr>
          <w:p>
            <w:pPr>
              <w:keepNext w:val="0"/>
              <w:keepLines w:val="0"/>
              <w:widowControl/>
              <w:suppressLineNumbers w:val="0"/>
              <w:jc w:val="both"/>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商业及其他行业类</w:t>
            </w:r>
          </w:p>
        </w:tc>
        <w:tc>
          <w:tcPr>
            <w:tcW w:w="1906" w:type="dxa"/>
            <w:tcBorders>
              <w:tl2br w:val="nil"/>
              <w:tr2bl w:val="nil"/>
            </w:tcBorders>
            <w:noWrap w:val="0"/>
            <w:vAlign w:val="center"/>
          </w:tcPr>
          <w:p>
            <w:pPr>
              <w:keepNext w:val="0"/>
              <w:keepLines w:val="0"/>
              <w:widowControl/>
              <w:suppressLineNumbers w:val="0"/>
              <w:jc w:val="left"/>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一般旅馆</w:t>
            </w:r>
          </w:p>
        </w:tc>
        <w:tc>
          <w:tcPr>
            <w:tcW w:w="1620" w:type="dxa"/>
            <w:vMerge w:val="restar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按床位数量</w:t>
            </w:r>
          </w:p>
        </w:tc>
        <w:tc>
          <w:tcPr>
            <w:tcW w:w="1785"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1元/床/月</w:t>
            </w:r>
          </w:p>
        </w:tc>
        <w:tc>
          <w:tcPr>
            <w:tcW w:w="5924" w:type="dxa"/>
            <w:vMerge w:val="restart"/>
            <w:tcBorders>
              <w:tl2br w:val="nil"/>
              <w:tr2bl w:val="nil"/>
            </w:tcBorders>
            <w:noWrap w:val="0"/>
            <w:vAlign w:val="center"/>
          </w:tcPr>
          <w:p>
            <w:pPr>
              <w:keepNext w:val="0"/>
              <w:keepLines w:val="0"/>
              <w:widowControl/>
              <w:suppressLineNumbers w:val="0"/>
              <w:jc w:val="left"/>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开设其他经营项目的按其经营项目标准收取。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00" w:hRule="atLeast"/>
        </w:trPr>
        <w:tc>
          <w:tcPr>
            <w:tcW w:w="734" w:type="dxa"/>
            <w:vMerge w:val="continue"/>
            <w:tcBorders>
              <w:tl2br w:val="nil"/>
              <w:tr2bl w:val="nil"/>
            </w:tcBorders>
            <w:noWrap/>
            <w:vAlign w:val="center"/>
          </w:tcPr>
          <w:p>
            <w:pPr>
              <w:jc w:val="center"/>
              <w:rPr>
                <w:rFonts w:hint="default" w:ascii="Times New Roman" w:hAnsi="Times New Roman" w:eastAsia="仿宋_GB2312" w:cs="Times New Roman"/>
                <w:i w:val="0"/>
                <w:iCs w:val="0"/>
                <w:color w:val="000000"/>
                <w:sz w:val="24"/>
                <w:szCs w:val="24"/>
                <w:u w:val="none"/>
              </w:rPr>
            </w:pPr>
          </w:p>
        </w:tc>
        <w:tc>
          <w:tcPr>
            <w:tcW w:w="2070" w:type="dxa"/>
            <w:vMerge w:val="continue"/>
            <w:tcBorders>
              <w:tl2br w:val="nil"/>
              <w:tr2bl w:val="nil"/>
            </w:tcBorders>
            <w:noWrap w:val="0"/>
            <w:vAlign w:val="center"/>
          </w:tcPr>
          <w:p>
            <w:pPr>
              <w:jc w:val="both"/>
              <w:rPr>
                <w:rFonts w:hint="default" w:ascii="Times New Roman" w:hAnsi="Times New Roman" w:eastAsia="仿宋_GB2312" w:cs="Times New Roman"/>
                <w:i w:val="0"/>
                <w:iCs w:val="0"/>
                <w:color w:val="000000"/>
                <w:sz w:val="24"/>
                <w:szCs w:val="24"/>
                <w:u w:val="none"/>
              </w:rPr>
            </w:pPr>
          </w:p>
        </w:tc>
        <w:tc>
          <w:tcPr>
            <w:tcW w:w="1906" w:type="dxa"/>
            <w:tcBorders>
              <w:tl2br w:val="nil"/>
              <w:tr2bl w:val="nil"/>
            </w:tcBorders>
            <w:noWrap w:val="0"/>
            <w:vAlign w:val="center"/>
          </w:tcPr>
          <w:p>
            <w:pPr>
              <w:keepNext w:val="0"/>
              <w:keepLines w:val="0"/>
              <w:widowControl/>
              <w:suppressLineNumbers w:val="0"/>
              <w:jc w:val="left"/>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宾馆</w:t>
            </w:r>
          </w:p>
        </w:tc>
        <w:tc>
          <w:tcPr>
            <w:tcW w:w="1620" w:type="dxa"/>
            <w:vMerge w:val="continue"/>
            <w:tcBorders>
              <w:tl2br w:val="nil"/>
              <w:tr2bl w:val="nil"/>
            </w:tcBorders>
            <w:noWrap w:val="0"/>
            <w:vAlign w:val="center"/>
          </w:tcPr>
          <w:p>
            <w:pPr>
              <w:jc w:val="center"/>
              <w:rPr>
                <w:rFonts w:hint="default" w:ascii="Times New Roman" w:hAnsi="Times New Roman" w:eastAsia="仿宋_GB2312" w:cs="Times New Roman"/>
                <w:i w:val="0"/>
                <w:iCs w:val="0"/>
                <w:color w:val="000000"/>
                <w:sz w:val="24"/>
                <w:szCs w:val="24"/>
                <w:u w:val="none"/>
              </w:rPr>
            </w:pPr>
          </w:p>
        </w:tc>
        <w:tc>
          <w:tcPr>
            <w:tcW w:w="1785"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1元/床/月</w:t>
            </w:r>
          </w:p>
        </w:tc>
        <w:tc>
          <w:tcPr>
            <w:tcW w:w="5924" w:type="dxa"/>
            <w:vMerge w:val="continue"/>
            <w:tcBorders>
              <w:tl2br w:val="nil"/>
              <w:tr2bl w:val="nil"/>
            </w:tcBorders>
            <w:noWrap w:val="0"/>
            <w:vAlign w:val="center"/>
          </w:tcPr>
          <w:p>
            <w:pPr>
              <w:jc w:val="left"/>
              <w:rPr>
                <w:rFonts w:hint="default" w:ascii="Times New Roman" w:hAnsi="Times New Roman" w:eastAsia="仿宋_GB2312" w:cs="Times New Roman"/>
                <w:i w:val="0"/>
                <w:iCs w:val="0"/>
                <w:color w:val="000000"/>
                <w:sz w:val="24"/>
                <w:szCs w:val="24"/>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00" w:hRule="atLeast"/>
        </w:trPr>
        <w:tc>
          <w:tcPr>
            <w:tcW w:w="734" w:type="dxa"/>
            <w:vMerge w:val="continue"/>
            <w:tcBorders>
              <w:tl2br w:val="nil"/>
              <w:tr2bl w:val="nil"/>
            </w:tcBorders>
            <w:noWrap/>
            <w:vAlign w:val="center"/>
          </w:tcPr>
          <w:p>
            <w:pPr>
              <w:jc w:val="center"/>
              <w:rPr>
                <w:rFonts w:hint="default" w:ascii="Times New Roman" w:hAnsi="Times New Roman" w:eastAsia="仿宋_GB2312" w:cs="Times New Roman"/>
                <w:i w:val="0"/>
                <w:iCs w:val="0"/>
                <w:color w:val="000000"/>
                <w:sz w:val="24"/>
                <w:szCs w:val="24"/>
                <w:u w:val="none"/>
              </w:rPr>
            </w:pPr>
          </w:p>
        </w:tc>
        <w:tc>
          <w:tcPr>
            <w:tcW w:w="2070" w:type="dxa"/>
            <w:vMerge w:val="continue"/>
            <w:tcBorders>
              <w:tl2br w:val="nil"/>
              <w:tr2bl w:val="nil"/>
            </w:tcBorders>
            <w:noWrap w:val="0"/>
            <w:vAlign w:val="center"/>
          </w:tcPr>
          <w:p>
            <w:pPr>
              <w:jc w:val="both"/>
              <w:rPr>
                <w:rFonts w:hint="default" w:ascii="Times New Roman" w:hAnsi="Times New Roman" w:eastAsia="仿宋_GB2312" w:cs="Times New Roman"/>
                <w:i w:val="0"/>
                <w:iCs w:val="0"/>
                <w:color w:val="000000"/>
                <w:sz w:val="24"/>
                <w:szCs w:val="24"/>
                <w:u w:val="none"/>
              </w:rPr>
            </w:pPr>
          </w:p>
        </w:tc>
        <w:tc>
          <w:tcPr>
            <w:tcW w:w="1906" w:type="dxa"/>
            <w:tcBorders>
              <w:tl2br w:val="nil"/>
              <w:tr2bl w:val="nil"/>
            </w:tcBorders>
            <w:noWrap w:val="0"/>
            <w:vAlign w:val="center"/>
          </w:tcPr>
          <w:p>
            <w:pPr>
              <w:keepNext w:val="0"/>
              <w:keepLines w:val="0"/>
              <w:widowControl/>
              <w:suppressLineNumbers w:val="0"/>
              <w:jc w:val="left"/>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星级宾馆</w:t>
            </w:r>
          </w:p>
        </w:tc>
        <w:tc>
          <w:tcPr>
            <w:tcW w:w="1620" w:type="dxa"/>
            <w:vMerge w:val="continue"/>
            <w:tcBorders>
              <w:tl2br w:val="nil"/>
              <w:tr2bl w:val="nil"/>
            </w:tcBorders>
            <w:noWrap w:val="0"/>
            <w:vAlign w:val="center"/>
          </w:tcPr>
          <w:p>
            <w:pPr>
              <w:jc w:val="center"/>
              <w:rPr>
                <w:rFonts w:hint="default" w:ascii="Times New Roman" w:hAnsi="Times New Roman" w:eastAsia="仿宋_GB2312" w:cs="Times New Roman"/>
                <w:i w:val="0"/>
                <w:iCs w:val="0"/>
                <w:color w:val="000000"/>
                <w:sz w:val="24"/>
                <w:szCs w:val="24"/>
                <w:u w:val="none"/>
              </w:rPr>
            </w:pPr>
          </w:p>
        </w:tc>
        <w:tc>
          <w:tcPr>
            <w:tcW w:w="1785"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2元/床/月</w:t>
            </w:r>
          </w:p>
        </w:tc>
        <w:tc>
          <w:tcPr>
            <w:tcW w:w="5924" w:type="dxa"/>
            <w:vMerge w:val="continue"/>
            <w:tcBorders>
              <w:tl2br w:val="nil"/>
              <w:tr2bl w:val="nil"/>
            </w:tcBorders>
            <w:noWrap w:val="0"/>
            <w:vAlign w:val="center"/>
          </w:tcPr>
          <w:p>
            <w:pPr>
              <w:jc w:val="left"/>
              <w:rPr>
                <w:rFonts w:hint="default" w:ascii="Times New Roman" w:hAnsi="Times New Roman" w:eastAsia="仿宋_GB2312" w:cs="Times New Roman"/>
                <w:i w:val="0"/>
                <w:iCs w:val="0"/>
                <w:color w:val="000000"/>
                <w:sz w:val="24"/>
                <w:szCs w:val="24"/>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85" w:hRule="atLeast"/>
        </w:trPr>
        <w:tc>
          <w:tcPr>
            <w:tcW w:w="734" w:type="dxa"/>
            <w:vMerge w:val="restart"/>
            <w:tcBorders>
              <w:tl2br w:val="nil"/>
              <w:tr2bl w:val="nil"/>
            </w:tcBorders>
            <w:noWrap/>
            <w:vAlign w:val="center"/>
          </w:tcPr>
          <w:p>
            <w:pPr>
              <w:jc w:val="center"/>
              <w:rPr>
                <w:rFonts w:hint="default" w:ascii="Times New Roman" w:hAnsi="Times New Roman" w:eastAsia="仿宋_GB2312" w:cs="Times New Roman"/>
                <w:i w:val="0"/>
                <w:iCs w:val="0"/>
                <w:color w:val="000000"/>
                <w:sz w:val="24"/>
                <w:szCs w:val="24"/>
                <w:u w:val="none"/>
                <w:lang w:val="en-US" w:eastAsia="zh-CN"/>
              </w:rPr>
            </w:pPr>
            <w:r>
              <w:rPr>
                <w:rFonts w:hint="default" w:ascii="Times New Roman" w:hAnsi="Times New Roman" w:eastAsia="仿宋_GB2312" w:cs="Times New Roman"/>
                <w:i w:val="0"/>
                <w:iCs w:val="0"/>
                <w:color w:val="000000"/>
                <w:sz w:val="24"/>
                <w:szCs w:val="24"/>
                <w:u w:val="none"/>
                <w:lang w:val="en-US" w:eastAsia="zh-CN"/>
              </w:rPr>
              <w:t>4</w:t>
            </w:r>
          </w:p>
        </w:tc>
        <w:tc>
          <w:tcPr>
            <w:tcW w:w="2070" w:type="dxa"/>
            <w:vMerge w:val="restart"/>
            <w:tcBorders>
              <w:tl2br w:val="nil"/>
              <w:tr2bl w:val="nil"/>
            </w:tcBorders>
            <w:noWrap w:val="0"/>
            <w:vAlign w:val="center"/>
          </w:tcPr>
          <w:p>
            <w:pPr>
              <w:jc w:val="both"/>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商业及其他行业类</w:t>
            </w:r>
          </w:p>
        </w:tc>
        <w:tc>
          <w:tcPr>
            <w:tcW w:w="1906" w:type="dxa"/>
            <w:tcBorders>
              <w:tl2br w:val="nil"/>
              <w:tr2bl w:val="nil"/>
            </w:tcBorders>
            <w:noWrap w:val="0"/>
            <w:vAlign w:val="center"/>
          </w:tcPr>
          <w:p>
            <w:pPr>
              <w:keepNext w:val="0"/>
              <w:keepLines w:val="0"/>
              <w:widowControl/>
              <w:suppressLineNumbers w:val="0"/>
              <w:jc w:val="left"/>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休闲娱乐业</w:t>
            </w:r>
          </w:p>
        </w:tc>
        <w:tc>
          <w:tcPr>
            <w:tcW w:w="1620"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按实际经营 面积</w:t>
            </w:r>
          </w:p>
        </w:tc>
        <w:tc>
          <w:tcPr>
            <w:tcW w:w="1785"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1元/㎡/月</w:t>
            </w:r>
          </w:p>
        </w:tc>
        <w:tc>
          <w:tcPr>
            <w:tcW w:w="5924" w:type="dxa"/>
            <w:tcBorders>
              <w:tl2br w:val="nil"/>
              <w:tr2bl w:val="nil"/>
            </w:tcBorders>
            <w:noWrap w:val="0"/>
            <w:vAlign w:val="center"/>
          </w:tcPr>
          <w:p>
            <w:pPr>
              <w:keepNext w:val="0"/>
              <w:keepLines w:val="0"/>
              <w:widowControl/>
              <w:suppressLineNumbers w:val="0"/>
              <w:jc w:val="left"/>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包括夜总会、俱乐部按摩、洗浴、桑拿中心、美容美发、歌厅、茶馆及其他娱乐场所（纯理发店按0.5元/㎡/月收取）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65" w:hRule="atLeast"/>
        </w:trPr>
        <w:tc>
          <w:tcPr>
            <w:tcW w:w="734" w:type="dxa"/>
            <w:vMerge w:val="continue"/>
            <w:tcBorders>
              <w:tl2br w:val="nil"/>
              <w:tr2bl w:val="nil"/>
            </w:tcBorders>
            <w:noWrap/>
            <w:vAlign w:val="center"/>
          </w:tcPr>
          <w:p>
            <w:pPr>
              <w:jc w:val="center"/>
              <w:rPr>
                <w:rFonts w:hint="default" w:ascii="Times New Roman" w:hAnsi="Times New Roman" w:eastAsia="仿宋_GB2312" w:cs="Times New Roman"/>
                <w:i w:val="0"/>
                <w:iCs w:val="0"/>
                <w:color w:val="000000"/>
                <w:sz w:val="24"/>
                <w:szCs w:val="24"/>
                <w:u w:val="none"/>
              </w:rPr>
            </w:pPr>
          </w:p>
        </w:tc>
        <w:tc>
          <w:tcPr>
            <w:tcW w:w="2070" w:type="dxa"/>
            <w:vMerge w:val="continue"/>
            <w:tcBorders>
              <w:tl2br w:val="nil"/>
              <w:tr2bl w:val="nil"/>
            </w:tcBorders>
            <w:noWrap w:val="0"/>
            <w:vAlign w:val="center"/>
          </w:tcPr>
          <w:p>
            <w:pPr>
              <w:jc w:val="both"/>
              <w:rPr>
                <w:rFonts w:hint="default" w:ascii="Times New Roman" w:hAnsi="Times New Roman" w:eastAsia="仿宋_GB2312" w:cs="Times New Roman"/>
                <w:i w:val="0"/>
                <w:iCs w:val="0"/>
                <w:color w:val="000000"/>
                <w:sz w:val="24"/>
                <w:szCs w:val="24"/>
                <w:u w:val="none"/>
              </w:rPr>
            </w:pPr>
          </w:p>
        </w:tc>
        <w:tc>
          <w:tcPr>
            <w:tcW w:w="1906" w:type="dxa"/>
            <w:tcBorders>
              <w:tl2br w:val="nil"/>
              <w:tr2bl w:val="nil"/>
            </w:tcBorders>
            <w:noWrap w:val="0"/>
            <w:vAlign w:val="center"/>
          </w:tcPr>
          <w:p>
            <w:pPr>
              <w:keepNext w:val="0"/>
              <w:keepLines w:val="0"/>
              <w:widowControl/>
              <w:suppressLineNumbers w:val="0"/>
              <w:jc w:val="left"/>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餐饮业</w:t>
            </w:r>
          </w:p>
        </w:tc>
        <w:tc>
          <w:tcPr>
            <w:tcW w:w="1620"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按实际经营 面积</w:t>
            </w:r>
          </w:p>
        </w:tc>
        <w:tc>
          <w:tcPr>
            <w:tcW w:w="1785"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0.8元/㎡/月</w:t>
            </w:r>
          </w:p>
        </w:tc>
        <w:tc>
          <w:tcPr>
            <w:tcW w:w="5924" w:type="dxa"/>
            <w:tcBorders>
              <w:tl2br w:val="nil"/>
              <w:tr2bl w:val="nil"/>
            </w:tcBorders>
            <w:noWrap w:val="0"/>
            <w:vAlign w:val="center"/>
          </w:tcPr>
          <w:p>
            <w:pPr>
              <w:keepNext w:val="0"/>
              <w:keepLines w:val="0"/>
              <w:widowControl/>
              <w:suppressLineNumbers w:val="0"/>
              <w:jc w:val="left"/>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儒林大道、中心路临街门面上浮50%收取。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40" w:hRule="atLeast"/>
        </w:trPr>
        <w:tc>
          <w:tcPr>
            <w:tcW w:w="734" w:type="dxa"/>
            <w:vMerge w:val="continue"/>
            <w:tcBorders>
              <w:tl2br w:val="nil"/>
              <w:tr2bl w:val="nil"/>
            </w:tcBorders>
            <w:noWrap/>
            <w:vAlign w:val="center"/>
          </w:tcPr>
          <w:p>
            <w:pPr>
              <w:jc w:val="center"/>
              <w:rPr>
                <w:rFonts w:hint="default" w:ascii="Times New Roman" w:hAnsi="Times New Roman" w:eastAsia="仿宋_GB2312" w:cs="Times New Roman"/>
                <w:i w:val="0"/>
                <w:iCs w:val="0"/>
                <w:color w:val="000000"/>
                <w:sz w:val="24"/>
                <w:szCs w:val="24"/>
                <w:u w:val="none"/>
              </w:rPr>
            </w:pPr>
          </w:p>
        </w:tc>
        <w:tc>
          <w:tcPr>
            <w:tcW w:w="2070" w:type="dxa"/>
            <w:vMerge w:val="continue"/>
            <w:tcBorders>
              <w:tl2br w:val="nil"/>
              <w:tr2bl w:val="nil"/>
            </w:tcBorders>
            <w:noWrap w:val="0"/>
            <w:vAlign w:val="center"/>
          </w:tcPr>
          <w:p>
            <w:pPr>
              <w:jc w:val="both"/>
              <w:rPr>
                <w:rFonts w:hint="default" w:ascii="Times New Roman" w:hAnsi="Times New Roman" w:eastAsia="仿宋_GB2312" w:cs="Times New Roman"/>
                <w:i w:val="0"/>
                <w:iCs w:val="0"/>
                <w:color w:val="000000"/>
                <w:sz w:val="24"/>
                <w:szCs w:val="24"/>
                <w:u w:val="none"/>
              </w:rPr>
            </w:pPr>
          </w:p>
        </w:tc>
        <w:tc>
          <w:tcPr>
            <w:tcW w:w="1906" w:type="dxa"/>
            <w:tcBorders>
              <w:tl2br w:val="nil"/>
              <w:tr2bl w:val="nil"/>
            </w:tcBorders>
            <w:noWrap w:val="0"/>
            <w:vAlign w:val="center"/>
          </w:tcPr>
          <w:p>
            <w:pPr>
              <w:keepNext w:val="0"/>
              <w:keepLines w:val="0"/>
              <w:widowControl/>
              <w:suppressLineNumbers w:val="0"/>
              <w:jc w:val="left"/>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文化、娱乐业</w:t>
            </w:r>
          </w:p>
        </w:tc>
        <w:tc>
          <w:tcPr>
            <w:tcW w:w="1620"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按实际经营 面积</w:t>
            </w:r>
          </w:p>
        </w:tc>
        <w:tc>
          <w:tcPr>
            <w:tcW w:w="1785"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0.5元/㎡/月</w:t>
            </w:r>
          </w:p>
        </w:tc>
        <w:tc>
          <w:tcPr>
            <w:tcW w:w="5924" w:type="dxa"/>
            <w:tcBorders>
              <w:tl2br w:val="nil"/>
              <w:tr2bl w:val="nil"/>
            </w:tcBorders>
            <w:noWrap w:val="0"/>
            <w:vAlign w:val="center"/>
          </w:tcPr>
          <w:p>
            <w:pPr>
              <w:keepNext w:val="0"/>
              <w:keepLines w:val="0"/>
              <w:widowControl/>
              <w:suppressLineNumbers w:val="0"/>
              <w:jc w:val="left"/>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包括电影院、录像厅、网吧、电子游戏厅、桌球室、麻将馆、电脑培训等</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40" w:hRule="atLeast"/>
        </w:trPr>
        <w:tc>
          <w:tcPr>
            <w:tcW w:w="734" w:type="dxa"/>
            <w:vMerge w:val="continue"/>
            <w:tcBorders>
              <w:tl2br w:val="nil"/>
              <w:tr2bl w:val="nil"/>
            </w:tcBorders>
            <w:noWrap/>
            <w:vAlign w:val="center"/>
          </w:tcPr>
          <w:p>
            <w:pPr>
              <w:jc w:val="center"/>
              <w:rPr>
                <w:rFonts w:hint="default" w:ascii="Times New Roman" w:hAnsi="Times New Roman" w:eastAsia="仿宋_GB2312" w:cs="Times New Roman"/>
                <w:i w:val="0"/>
                <w:iCs w:val="0"/>
                <w:color w:val="000000"/>
                <w:sz w:val="24"/>
                <w:szCs w:val="24"/>
                <w:u w:val="none"/>
              </w:rPr>
            </w:pPr>
          </w:p>
        </w:tc>
        <w:tc>
          <w:tcPr>
            <w:tcW w:w="2070" w:type="dxa"/>
            <w:vMerge w:val="continue"/>
            <w:tcBorders>
              <w:tl2br w:val="nil"/>
              <w:tr2bl w:val="nil"/>
            </w:tcBorders>
            <w:noWrap w:val="0"/>
            <w:vAlign w:val="center"/>
          </w:tcPr>
          <w:p>
            <w:pPr>
              <w:jc w:val="both"/>
              <w:rPr>
                <w:rFonts w:hint="default" w:ascii="Times New Roman" w:hAnsi="Times New Roman" w:eastAsia="仿宋_GB2312" w:cs="Times New Roman"/>
                <w:i w:val="0"/>
                <w:iCs w:val="0"/>
                <w:color w:val="000000"/>
                <w:sz w:val="24"/>
                <w:szCs w:val="24"/>
                <w:u w:val="none"/>
              </w:rPr>
            </w:pPr>
          </w:p>
        </w:tc>
        <w:tc>
          <w:tcPr>
            <w:tcW w:w="1906" w:type="dxa"/>
            <w:tcBorders>
              <w:tl2br w:val="nil"/>
              <w:tr2bl w:val="nil"/>
            </w:tcBorders>
            <w:noWrap w:val="0"/>
            <w:vAlign w:val="center"/>
          </w:tcPr>
          <w:p>
            <w:pPr>
              <w:keepNext w:val="0"/>
              <w:keepLines w:val="0"/>
              <w:widowControl/>
              <w:suppressLineNumbers w:val="0"/>
              <w:jc w:val="left"/>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农贸市场、临时交易市场</w:t>
            </w:r>
          </w:p>
        </w:tc>
        <w:tc>
          <w:tcPr>
            <w:tcW w:w="1620"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按实际经营 面积</w:t>
            </w:r>
          </w:p>
        </w:tc>
        <w:tc>
          <w:tcPr>
            <w:tcW w:w="1785"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1元/㎡/月</w:t>
            </w:r>
          </w:p>
        </w:tc>
        <w:tc>
          <w:tcPr>
            <w:tcW w:w="5924" w:type="dxa"/>
            <w:tcBorders>
              <w:tl2br w:val="nil"/>
              <w:tr2bl w:val="nil"/>
            </w:tcBorders>
            <w:noWrap w:val="0"/>
            <w:vAlign w:val="center"/>
          </w:tcPr>
          <w:p>
            <w:pPr>
              <w:keepNext w:val="0"/>
              <w:keepLines w:val="0"/>
              <w:widowControl/>
              <w:suppressLineNumbers w:val="0"/>
              <w:jc w:val="left"/>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对自备垃圾斗（围）的可按垃圾量100元/斗（多功能车）、小四轮车80元/车（含装卸费）标准收取。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85" w:hRule="atLeast"/>
        </w:trPr>
        <w:tc>
          <w:tcPr>
            <w:tcW w:w="734" w:type="dxa"/>
            <w:vMerge w:val="continue"/>
            <w:tcBorders>
              <w:tl2br w:val="nil"/>
              <w:tr2bl w:val="nil"/>
            </w:tcBorders>
            <w:noWrap/>
            <w:vAlign w:val="center"/>
          </w:tcPr>
          <w:p>
            <w:pPr>
              <w:jc w:val="center"/>
              <w:rPr>
                <w:rFonts w:hint="default" w:ascii="Times New Roman" w:hAnsi="Times New Roman" w:eastAsia="仿宋_GB2312" w:cs="Times New Roman"/>
                <w:i w:val="0"/>
                <w:iCs w:val="0"/>
                <w:color w:val="000000"/>
                <w:sz w:val="24"/>
                <w:szCs w:val="24"/>
                <w:u w:val="none"/>
              </w:rPr>
            </w:pPr>
          </w:p>
        </w:tc>
        <w:tc>
          <w:tcPr>
            <w:tcW w:w="2070" w:type="dxa"/>
            <w:vMerge w:val="continue"/>
            <w:tcBorders>
              <w:tl2br w:val="nil"/>
              <w:tr2bl w:val="nil"/>
            </w:tcBorders>
            <w:noWrap w:val="0"/>
            <w:vAlign w:val="center"/>
          </w:tcPr>
          <w:p>
            <w:pPr>
              <w:jc w:val="both"/>
              <w:rPr>
                <w:rFonts w:hint="default" w:ascii="Times New Roman" w:hAnsi="Times New Roman" w:eastAsia="仿宋_GB2312" w:cs="Times New Roman"/>
                <w:i w:val="0"/>
                <w:iCs w:val="0"/>
                <w:color w:val="000000"/>
                <w:sz w:val="24"/>
                <w:szCs w:val="24"/>
                <w:u w:val="none"/>
              </w:rPr>
            </w:pPr>
          </w:p>
        </w:tc>
        <w:tc>
          <w:tcPr>
            <w:tcW w:w="1906" w:type="dxa"/>
            <w:tcBorders>
              <w:tl2br w:val="nil"/>
              <w:tr2bl w:val="nil"/>
            </w:tcBorders>
            <w:noWrap w:val="0"/>
            <w:vAlign w:val="center"/>
          </w:tcPr>
          <w:p>
            <w:pPr>
              <w:keepNext w:val="0"/>
              <w:keepLines w:val="0"/>
              <w:widowControl/>
              <w:suppressLineNumbers w:val="0"/>
              <w:jc w:val="left"/>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甘蔗、橘子等水果经营</w:t>
            </w:r>
          </w:p>
        </w:tc>
        <w:tc>
          <w:tcPr>
            <w:tcW w:w="1620"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按实际经营 面积</w:t>
            </w:r>
          </w:p>
        </w:tc>
        <w:tc>
          <w:tcPr>
            <w:tcW w:w="1785"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1元/㎡/月</w:t>
            </w:r>
          </w:p>
        </w:tc>
        <w:tc>
          <w:tcPr>
            <w:tcW w:w="5924" w:type="dxa"/>
            <w:tcBorders>
              <w:tl2br w:val="nil"/>
              <w:tr2bl w:val="nil"/>
            </w:tcBorders>
            <w:noWrap w:val="0"/>
            <w:vAlign w:val="center"/>
          </w:tcPr>
          <w:p>
            <w:pPr>
              <w:keepNext w:val="0"/>
              <w:keepLines w:val="0"/>
              <w:widowControl/>
              <w:suppressLineNumbers w:val="0"/>
              <w:jc w:val="left"/>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批发商按批发销量：甘蔗20元/吨，水果15元/吨；其他：10元/吨。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65" w:hRule="atLeast"/>
        </w:trPr>
        <w:tc>
          <w:tcPr>
            <w:tcW w:w="734" w:type="dxa"/>
            <w:vMerge w:val="continue"/>
            <w:tcBorders>
              <w:tl2br w:val="nil"/>
              <w:tr2bl w:val="nil"/>
            </w:tcBorders>
            <w:noWrap/>
            <w:vAlign w:val="center"/>
          </w:tcPr>
          <w:p>
            <w:pPr>
              <w:jc w:val="center"/>
              <w:rPr>
                <w:rFonts w:hint="default" w:ascii="Times New Roman" w:hAnsi="Times New Roman" w:eastAsia="仿宋_GB2312" w:cs="Times New Roman"/>
                <w:i w:val="0"/>
                <w:iCs w:val="0"/>
                <w:color w:val="000000"/>
                <w:sz w:val="24"/>
                <w:szCs w:val="24"/>
                <w:u w:val="none"/>
              </w:rPr>
            </w:pPr>
          </w:p>
        </w:tc>
        <w:tc>
          <w:tcPr>
            <w:tcW w:w="2070" w:type="dxa"/>
            <w:vMerge w:val="continue"/>
            <w:tcBorders>
              <w:tl2br w:val="nil"/>
              <w:tr2bl w:val="nil"/>
            </w:tcBorders>
            <w:noWrap w:val="0"/>
            <w:vAlign w:val="center"/>
          </w:tcPr>
          <w:p>
            <w:pPr>
              <w:jc w:val="both"/>
              <w:rPr>
                <w:rFonts w:hint="default" w:ascii="Times New Roman" w:hAnsi="Times New Roman" w:eastAsia="仿宋_GB2312" w:cs="Times New Roman"/>
                <w:i w:val="0"/>
                <w:iCs w:val="0"/>
                <w:color w:val="000000"/>
                <w:sz w:val="24"/>
                <w:szCs w:val="24"/>
                <w:u w:val="none"/>
              </w:rPr>
            </w:pPr>
          </w:p>
        </w:tc>
        <w:tc>
          <w:tcPr>
            <w:tcW w:w="1906" w:type="dxa"/>
            <w:tcBorders>
              <w:tl2br w:val="nil"/>
              <w:tr2bl w:val="nil"/>
            </w:tcBorders>
            <w:noWrap w:val="0"/>
            <w:vAlign w:val="center"/>
          </w:tcPr>
          <w:p>
            <w:pPr>
              <w:keepNext w:val="0"/>
              <w:keepLines w:val="0"/>
              <w:widowControl/>
              <w:suppressLineNumbers w:val="0"/>
              <w:jc w:val="left"/>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招牌制作、冷作店</w:t>
            </w:r>
          </w:p>
        </w:tc>
        <w:tc>
          <w:tcPr>
            <w:tcW w:w="1620" w:type="dxa"/>
            <w:tcBorders>
              <w:tl2br w:val="nil"/>
              <w:tr2bl w:val="nil"/>
            </w:tcBorders>
            <w:noWrap w:val="0"/>
            <w:vAlign w:val="center"/>
          </w:tcPr>
          <w:p>
            <w:pPr>
              <w:keepNext w:val="0"/>
              <w:keepLines w:val="0"/>
              <w:widowControl/>
              <w:suppressLineNumbers w:val="0"/>
              <w:jc w:val="left"/>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按实际经营 面积</w:t>
            </w:r>
          </w:p>
        </w:tc>
        <w:tc>
          <w:tcPr>
            <w:tcW w:w="1785"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0.8元/㎡/月</w:t>
            </w:r>
          </w:p>
        </w:tc>
        <w:tc>
          <w:tcPr>
            <w:tcW w:w="5924" w:type="dxa"/>
            <w:tcBorders>
              <w:tl2br w:val="nil"/>
              <w:tr2bl w:val="nil"/>
            </w:tcBorders>
            <w:noWrap w:val="0"/>
            <w:vAlign w:val="center"/>
          </w:tcPr>
          <w:p>
            <w:pPr>
              <w:jc w:val="left"/>
              <w:rPr>
                <w:rFonts w:hint="default" w:ascii="Times New Roman" w:hAnsi="Times New Roman" w:eastAsia="仿宋_GB2312" w:cs="Times New Roman"/>
                <w:i w:val="0"/>
                <w:iCs w:val="0"/>
                <w:color w:val="000000"/>
                <w:sz w:val="24"/>
                <w:szCs w:val="24"/>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80" w:hRule="atLeast"/>
        </w:trPr>
        <w:tc>
          <w:tcPr>
            <w:tcW w:w="734" w:type="dxa"/>
            <w:vMerge w:val="continue"/>
            <w:tcBorders>
              <w:tl2br w:val="nil"/>
              <w:tr2bl w:val="nil"/>
            </w:tcBorders>
            <w:noWrap/>
            <w:vAlign w:val="center"/>
          </w:tcPr>
          <w:p>
            <w:pPr>
              <w:jc w:val="center"/>
              <w:rPr>
                <w:rFonts w:hint="default" w:ascii="Times New Roman" w:hAnsi="Times New Roman" w:eastAsia="仿宋_GB2312" w:cs="Times New Roman"/>
                <w:i w:val="0"/>
                <w:iCs w:val="0"/>
                <w:color w:val="000000"/>
                <w:sz w:val="24"/>
                <w:szCs w:val="24"/>
                <w:u w:val="none"/>
              </w:rPr>
            </w:pPr>
          </w:p>
        </w:tc>
        <w:tc>
          <w:tcPr>
            <w:tcW w:w="2070" w:type="dxa"/>
            <w:vMerge w:val="continue"/>
            <w:tcBorders>
              <w:tl2br w:val="nil"/>
              <w:tr2bl w:val="nil"/>
            </w:tcBorders>
            <w:noWrap w:val="0"/>
            <w:vAlign w:val="center"/>
          </w:tcPr>
          <w:p>
            <w:pPr>
              <w:jc w:val="both"/>
              <w:rPr>
                <w:rFonts w:hint="default" w:ascii="Times New Roman" w:hAnsi="Times New Roman" w:eastAsia="仿宋_GB2312" w:cs="Times New Roman"/>
                <w:i w:val="0"/>
                <w:iCs w:val="0"/>
                <w:color w:val="000000"/>
                <w:sz w:val="24"/>
                <w:szCs w:val="24"/>
                <w:u w:val="none"/>
              </w:rPr>
            </w:pPr>
          </w:p>
        </w:tc>
        <w:tc>
          <w:tcPr>
            <w:tcW w:w="1906" w:type="dxa"/>
            <w:tcBorders>
              <w:tl2br w:val="nil"/>
              <w:tr2bl w:val="nil"/>
            </w:tcBorders>
            <w:noWrap w:val="0"/>
            <w:vAlign w:val="center"/>
          </w:tcPr>
          <w:p>
            <w:pPr>
              <w:keepNext w:val="0"/>
              <w:keepLines w:val="0"/>
              <w:widowControl/>
              <w:suppressLineNumbers w:val="0"/>
              <w:jc w:val="left"/>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煤场、石灰场、沙场</w:t>
            </w:r>
          </w:p>
        </w:tc>
        <w:tc>
          <w:tcPr>
            <w:tcW w:w="1620" w:type="dxa"/>
            <w:tcBorders>
              <w:tl2br w:val="nil"/>
              <w:tr2bl w:val="nil"/>
            </w:tcBorders>
            <w:noWrap w:val="0"/>
            <w:vAlign w:val="center"/>
          </w:tcPr>
          <w:p>
            <w:pPr>
              <w:keepNext w:val="0"/>
              <w:keepLines w:val="0"/>
              <w:widowControl/>
              <w:suppressLineNumbers w:val="0"/>
              <w:jc w:val="left"/>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按实际经营 面积</w:t>
            </w:r>
          </w:p>
        </w:tc>
        <w:tc>
          <w:tcPr>
            <w:tcW w:w="1785"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0.8元/㎡/月</w:t>
            </w:r>
          </w:p>
        </w:tc>
        <w:tc>
          <w:tcPr>
            <w:tcW w:w="5924" w:type="dxa"/>
            <w:tcBorders>
              <w:tl2br w:val="nil"/>
              <w:tr2bl w:val="nil"/>
            </w:tcBorders>
            <w:noWrap w:val="0"/>
            <w:vAlign w:val="center"/>
          </w:tcPr>
          <w:p>
            <w:pPr>
              <w:keepNext w:val="0"/>
              <w:keepLines w:val="0"/>
              <w:widowControl/>
              <w:suppressLineNumbers w:val="0"/>
              <w:jc w:val="left"/>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含钢材制作。</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0" w:hRule="atLeast"/>
        </w:trPr>
        <w:tc>
          <w:tcPr>
            <w:tcW w:w="734" w:type="dxa"/>
            <w:vMerge w:val="continue"/>
            <w:tcBorders>
              <w:tl2br w:val="nil"/>
              <w:tr2bl w:val="nil"/>
            </w:tcBorders>
            <w:noWrap/>
            <w:vAlign w:val="center"/>
          </w:tcPr>
          <w:p>
            <w:pPr>
              <w:jc w:val="center"/>
              <w:rPr>
                <w:rFonts w:hint="default" w:ascii="Times New Roman" w:hAnsi="Times New Roman" w:eastAsia="仿宋_GB2312" w:cs="Times New Roman"/>
                <w:i w:val="0"/>
                <w:iCs w:val="0"/>
                <w:color w:val="000000"/>
                <w:sz w:val="24"/>
                <w:szCs w:val="24"/>
                <w:u w:val="none"/>
              </w:rPr>
            </w:pPr>
          </w:p>
        </w:tc>
        <w:tc>
          <w:tcPr>
            <w:tcW w:w="2070" w:type="dxa"/>
            <w:vMerge w:val="continue"/>
            <w:tcBorders>
              <w:tl2br w:val="nil"/>
              <w:tr2bl w:val="nil"/>
            </w:tcBorders>
            <w:noWrap w:val="0"/>
            <w:vAlign w:val="center"/>
          </w:tcPr>
          <w:p>
            <w:pPr>
              <w:jc w:val="both"/>
              <w:rPr>
                <w:rFonts w:hint="default" w:ascii="Times New Roman" w:hAnsi="Times New Roman" w:eastAsia="仿宋_GB2312" w:cs="Times New Roman"/>
                <w:i w:val="0"/>
                <w:iCs w:val="0"/>
                <w:color w:val="000000"/>
                <w:sz w:val="24"/>
                <w:szCs w:val="24"/>
                <w:u w:val="none"/>
              </w:rPr>
            </w:pPr>
          </w:p>
        </w:tc>
        <w:tc>
          <w:tcPr>
            <w:tcW w:w="1906" w:type="dxa"/>
            <w:tcBorders>
              <w:tl2br w:val="nil"/>
              <w:tr2bl w:val="nil"/>
            </w:tcBorders>
            <w:noWrap w:val="0"/>
            <w:vAlign w:val="center"/>
          </w:tcPr>
          <w:p>
            <w:pPr>
              <w:keepNext w:val="0"/>
              <w:keepLines w:val="0"/>
              <w:widowControl/>
              <w:suppressLineNumbers w:val="0"/>
              <w:jc w:val="left"/>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豆腐加工、酿酒、食品加工等</w:t>
            </w:r>
          </w:p>
        </w:tc>
        <w:tc>
          <w:tcPr>
            <w:tcW w:w="1620" w:type="dxa"/>
            <w:tcBorders>
              <w:tl2br w:val="nil"/>
              <w:tr2bl w:val="nil"/>
            </w:tcBorders>
            <w:noWrap w:val="0"/>
            <w:vAlign w:val="center"/>
          </w:tcPr>
          <w:p>
            <w:pPr>
              <w:keepNext w:val="0"/>
              <w:keepLines w:val="0"/>
              <w:widowControl/>
              <w:suppressLineNumbers w:val="0"/>
              <w:jc w:val="left"/>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按实际经营 面积</w:t>
            </w:r>
          </w:p>
        </w:tc>
        <w:tc>
          <w:tcPr>
            <w:tcW w:w="1785" w:type="dxa"/>
            <w:tcBorders>
              <w:tl2br w:val="nil"/>
              <w:tr2bl w:val="nil"/>
            </w:tcBorders>
            <w:noWrap w:val="0"/>
            <w:vAlign w:val="center"/>
          </w:tcPr>
          <w:p>
            <w:pPr>
              <w:keepNext w:val="0"/>
              <w:keepLines w:val="0"/>
              <w:widowControl/>
              <w:suppressLineNumbers w:val="0"/>
              <w:jc w:val="left"/>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0.6元/㎡/月</w:t>
            </w:r>
          </w:p>
        </w:tc>
        <w:tc>
          <w:tcPr>
            <w:tcW w:w="5924" w:type="dxa"/>
            <w:tcBorders>
              <w:tl2br w:val="nil"/>
              <w:tr2bl w:val="nil"/>
            </w:tcBorders>
            <w:noWrap w:val="0"/>
            <w:vAlign w:val="center"/>
          </w:tcPr>
          <w:p>
            <w:pPr>
              <w:jc w:val="left"/>
              <w:rPr>
                <w:rFonts w:hint="default" w:ascii="Times New Roman" w:hAnsi="Times New Roman" w:eastAsia="仿宋_GB2312" w:cs="Times New Roman"/>
                <w:i w:val="0"/>
                <w:iCs w:val="0"/>
                <w:color w:val="000000"/>
                <w:sz w:val="24"/>
                <w:szCs w:val="24"/>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5" w:hRule="atLeast"/>
        </w:trPr>
        <w:tc>
          <w:tcPr>
            <w:tcW w:w="734" w:type="dxa"/>
            <w:vMerge w:val="continue"/>
            <w:tcBorders>
              <w:tl2br w:val="nil"/>
              <w:tr2bl w:val="nil"/>
            </w:tcBorders>
            <w:noWrap/>
            <w:vAlign w:val="center"/>
          </w:tcPr>
          <w:p>
            <w:pPr>
              <w:jc w:val="center"/>
              <w:rPr>
                <w:rFonts w:hint="default" w:ascii="Times New Roman" w:hAnsi="Times New Roman" w:eastAsia="仿宋_GB2312" w:cs="Times New Roman"/>
                <w:i w:val="0"/>
                <w:iCs w:val="0"/>
                <w:color w:val="000000"/>
                <w:sz w:val="24"/>
                <w:szCs w:val="24"/>
                <w:u w:val="none"/>
              </w:rPr>
            </w:pPr>
          </w:p>
        </w:tc>
        <w:tc>
          <w:tcPr>
            <w:tcW w:w="2070" w:type="dxa"/>
            <w:vMerge w:val="continue"/>
            <w:tcBorders>
              <w:tl2br w:val="nil"/>
              <w:tr2bl w:val="nil"/>
            </w:tcBorders>
            <w:noWrap w:val="0"/>
            <w:vAlign w:val="center"/>
          </w:tcPr>
          <w:p>
            <w:pPr>
              <w:jc w:val="both"/>
              <w:rPr>
                <w:rFonts w:hint="default" w:ascii="Times New Roman" w:hAnsi="Times New Roman" w:eastAsia="仿宋_GB2312" w:cs="Times New Roman"/>
                <w:i w:val="0"/>
                <w:iCs w:val="0"/>
                <w:color w:val="000000"/>
                <w:sz w:val="24"/>
                <w:szCs w:val="24"/>
                <w:u w:val="none"/>
              </w:rPr>
            </w:pPr>
          </w:p>
        </w:tc>
        <w:tc>
          <w:tcPr>
            <w:tcW w:w="1906" w:type="dxa"/>
            <w:tcBorders>
              <w:tl2br w:val="nil"/>
              <w:tr2bl w:val="nil"/>
            </w:tcBorders>
            <w:noWrap w:val="0"/>
            <w:vAlign w:val="center"/>
          </w:tcPr>
          <w:p>
            <w:pPr>
              <w:keepNext w:val="0"/>
              <w:keepLines w:val="0"/>
              <w:widowControl/>
              <w:suppressLineNumbers w:val="0"/>
              <w:jc w:val="left"/>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预制件加工</w:t>
            </w:r>
          </w:p>
        </w:tc>
        <w:tc>
          <w:tcPr>
            <w:tcW w:w="1620" w:type="dxa"/>
            <w:tcBorders>
              <w:tl2br w:val="nil"/>
              <w:tr2bl w:val="nil"/>
            </w:tcBorders>
            <w:noWrap w:val="0"/>
            <w:vAlign w:val="center"/>
          </w:tcPr>
          <w:p>
            <w:pPr>
              <w:keepNext w:val="0"/>
              <w:keepLines w:val="0"/>
              <w:widowControl/>
              <w:suppressLineNumbers w:val="0"/>
              <w:jc w:val="left"/>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按实际经营 面积</w:t>
            </w:r>
          </w:p>
        </w:tc>
        <w:tc>
          <w:tcPr>
            <w:tcW w:w="1785"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0.2元/㎡/月</w:t>
            </w:r>
          </w:p>
        </w:tc>
        <w:tc>
          <w:tcPr>
            <w:tcW w:w="5924" w:type="dxa"/>
            <w:tcBorders>
              <w:tl2br w:val="nil"/>
              <w:tr2bl w:val="nil"/>
            </w:tcBorders>
            <w:noWrap w:val="0"/>
            <w:vAlign w:val="center"/>
          </w:tcPr>
          <w:p>
            <w:pPr>
              <w:keepNext w:val="0"/>
              <w:keepLines w:val="0"/>
              <w:widowControl/>
              <w:suppressLineNumbers w:val="0"/>
              <w:jc w:val="left"/>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包括砖厂、瓦厂。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00" w:hRule="atLeast"/>
        </w:trPr>
        <w:tc>
          <w:tcPr>
            <w:tcW w:w="734" w:type="dxa"/>
            <w:vMerge w:val="restart"/>
            <w:tcBorders>
              <w:tl2br w:val="nil"/>
              <w:tr2bl w:val="nil"/>
            </w:tcBorders>
            <w:noWrap/>
            <w:vAlign w:val="center"/>
          </w:tcPr>
          <w:p>
            <w:pPr>
              <w:jc w:val="center"/>
              <w:rPr>
                <w:rFonts w:hint="default" w:ascii="Times New Roman" w:hAnsi="Times New Roman" w:eastAsia="仿宋_GB2312" w:cs="Times New Roman"/>
                <w:i w:val="0"/>
                <w:iCs w:val="0"/>
                <w:color w:val="000000"/>
                <w:sz w:val="24"/>
                <w:szCs w:val="24"/>
                <w:u w:val="none"/>
                <w:lang w:val="en-US" w:eastAsia="zh-CN"/>
              </w:rPr>
            </w:pPr>
            <w:r>
              <w:rPr>
                <w:rFonts w:hint="default" w:ascii="Times New Roman" w:hAnsi="Times New Roman" w:eastAsia="仿宋_GB2312" w:cs="Times New Roman"/>
                <w:i w:val="0"/>
                <w:iCs w:val="0"/>
                <w:color w:val="000000"/>
                <w:sz w:val="24"/>
                <w:szCs w:val="24"/>
                <w:u w:val="none"/>
                <w:lang w:val="en-US" w:eastAsia="zh-CN"/>
              </w:rPr>
              <w:t>4</w:t>
            </w:r>
          </w:p>
        </w:tc>
        <w:tc>
          <w:tcPr>
            <w:tcW w:w="2070" w:type="dxa"/>
            <w:vMerge w:val="restart"/>
            <w:tcBorders>
              <w:tl2br w:val="nil"/>
              <w:tr2bl w:val="nil"/>
            </w:tcBorders>
            <w:noWrap w:val="0"/>
            <w:vAlign w:val="center"/>
          </w:tcPr>
          <w:p>
            <w:pPr>
              <w:jc w:val="both"/>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商业及其他行业类</w:t>
            </w:r>
          </w:p>
        </w:tc>
        <w:tc>
          <w:tcPr>
            <w:tcW w:w="1906" w:type="dxa"/>
            <w:tcBorders>
              <w:tl2br w:val="nil"/>
              <w:tr2bl w:val="nil"/>
            </w:tcBorders>
            <w:noWrap w:val="0"/>
            <w:vAlign w:val="center"/>
          </w:tcPr>
          <w:p>
            <w:pPr>
              <w:keepNext w:val="0"/>
              <w:keepLines w:val="0"/>
              <w:widowControl/>
              <w:suppressLineNumbers w:val="0"/>
              <w:jc w:val="left"/>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汽车站、停车场</w:t>
            </w:r>
          </w:p>
        </w:tc>
        <w:tc>
          <w:tcPr>
            <w:tcW w:w="1620"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按实际经营 面积</w:t>
            </w:r>
          </w:p>
        </w:tc>
        <w:tc>
          <w:tcPr>
            <w:tcW w:w="1785"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0.2元/㎡/月</w:t>
            </w:r>
          </w:p>
        </w:tc>
        <w:tc>
          <w:tcPr>
            <w:tcW w:w="5924" w:type="dxa"/>
            <w:tcBorders>
              <w:tl2br w:val="nil"/>
              <w:tr2bl w:val="nil"/>
            </w:tcBorders>
            <w:noWrap w:val="0"/>
            <w:vAlign w:val="center"/>
          </w:tcPr>
          <w:p>
            <w:pPr>
              <w:keepNext w:val="0"/>
              <w:keepLines w:val="0"/>
              <w:widowControl/>
              <w:suppressLineNumbers w:val="0"/>
              <w:jc w:val="left"/>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对自备垃圾斗（围）的，可按垃圾量100元/斗（多功能车），小四轮车80元/车（含装卸费）标准收取。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65" w:hRule="atLeast"/>
        </w:trPr>
        <w:tc>
          <w:tcPr>
            <w:tcW w:w="734" w:type="dxa"/>
            <w:vMerge w:val="continue"/>
            <w:tcBorders>
              <w:tl2br w:val="nil"/>
              <w:tr2bl w:val="nil"/>
            </w:tcBorders>
            <w:noWrap/>
            <w:vAlign w:val="center"/>
          </w:tcPr>
          <w:p>
            <w:pPr>
              <w:jc w:val="center"/>
              <w:rPr>
                <w:rFonts w:hint="default" w:ascii="Times New Roman" w:hAnsi="Times New Roman" w:eastAsia="仿宋_GB2312" w:cs="Times New Roman"/>
                <w:i w:val="0"/>
                <w:iCs w:val="0"/>
                <w:color w:val="000000"/>
                <w:sz w:val="24"/>
                <w:szCs w:val="24"/>
                <w:u w:val="none"/>
              </w:rPr>
            </w:pPr>
          </w:p>
        </w:tc>
        <w:tc>
          <w:tcPr>
            <w:tcW w:w="2070" w:type="dxa"/>
            <w:vMerge w:val="continue"/>
            <w:tcBorders>
              <w:tl2br w:val="nil"/>
              <w:tr2bl w:val="nil"/>
            </w:tcBorders>
            <w:noWrap w:val="0"/>
            <w:vAlign w:val="center"/>
          </w:tcPr>
          <w:p>
            <w:pPr>
              <w:jc w:val="both"/>
              <w:rPr>
                <w:rFonts w:hint="default" w:ascii="Times New Roman" w:hAnsi="Times New Roman" w:eastAsia="仿宋_GB2312" w:cs="Times New Roman"/>
                <w:i w:val="0"/>
                <w:iCs w:val="0"/>
                <w:color w:val="000000"/>
                <w:sz w:val="24"/>
                <w:szCs w:val="24"/>
                <w:u w:val="none"/>
              </w:rPr>
            </w:pPr>
          </w:p>
        </w:tc>
        <w:tc>
          <w:tcPr>
            <w:tcW w:w="1906" w:type="dxa"/>
            <w:tcBorders>
              <w:tl2br w:val="nil"/>
              <w:tr2bl w:val="nil"/>
            </w:tcBorders>
            <w:noWrap w:val="0"/>
            <w:vAlign w:val="center"/>
          </w:tcPr>
          <w:p>
            <w:pPr>
              <w:keepNext w:val="0"/>
              <w:keepLines w:val="0"/>
              <w:widowControl/>
              <w:suppressLineNumbers w:val="0"/>
              <w:jc w:val="left"/>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商业服务业</w:t>
            </w:r>
          </w:p>
        </w:tc>
        <w:tc>
          <w:tcPr>
            <w:tcW w:w="1620"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按实际经营 面积</w:t>
            </w:r>
          </w:p>
        </w:tc>
        <w:tc>
          <w:tcPr>
            <w:tcW w:w="1785"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0.5元/㎡/月</w:t>
            </w:r>
          </w:p>
        </w:tc>
        <w:tc>
          <w:tcPr>
            <w:tcW w:w="5924" w:type="dxa"/>
            <w:tcBorders>
              <w:tl2br w:val="nil"/>
              <w:tr2bl w:val="nil"/>
            </w:tcBorders>
            <w:noWrap w:val="0"/>
            <w:vAlign w:val="center"/>
          </w:tcPr>
          <w:p>
            <w:pPr>
              <w:keepNext w:val="0"/>
              <w:keepLines w:val="0"/>
              <w:widowControl/>
              <w:suppressLineNumbers w:val="0"/>
              <w:jc w:val="left"/>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包括邮政、电信、移动、联通、加油站、银行、保险、照相、服装等营业场所。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95" w:hRule="atLeast"/>
        </w:trPr>
        <w:tc>
          <w:tcPr>
            <w:tcW w:w="734" w:type="dxa"/>
            <w:vMerge w:val="continue"/>
            <w:tcBorders>
              <w:tl2br w:val="nil"/>
              <w:tr2bl w:val="nil"/>
            </w:tcBorders>
            <w:noWrap/>
            <w:vAlign w:val="center"/>
          </w:tcPr>
          <w:p>
            <w:pPr>
              <w:jc w:val="center"/>
              <w:rPr>
                <w:rFonts w:hint="default" w:ascii="Times New Roman" w:hAnsi="Times New Roman" w:eastAsia="仿宋_GB2312" w:cs="Times New Roman"/>
                <w:i w:val="0"/>
                <w:iCs w:val="0"/>
                <w:color w:val="000000"/>
                <w:sz w:val="24"/>
                <w:szCs w:val="24"/>
                <w:u w:val="none"/>
              </w:rPr>
            </w:pPr>
          </w:p>
        </w:tc>
        <w:tc>
          <w:tcPr>
            <w:tcW w:w="2070" w:type="dxa"/>
            <w:vMerge w:val="continue"/>
            <w:tcBorders>
              <w:tl2br w:val="nil"/>
              <w:tr2bl w:val="nil"/>
            </w:tcBorders>
            <w:noWrap w:val="0"/>
            <w:vAlign w:val="center"/>
          </w:tcPr>
          <w:p>
            <w:pPr>
              <w:jc w:val="both"/>
              <w:rPr>
                <w:rFonts w:hint="default" w:ascii="Times New Roman" w:hAnsi="Times New Roman" w:eastAsia="仿宋_GB2312" w:cs="Times New Roman"/>
                <w:i w:val="0"/>
                <w:iCs w:val="0"/>
                <w:color w:val="000000"/>
                <w:sz w:val="24"/>
                <w:szCs w:val="24"/>
                <w:u w:val="none"/>
              </w:rPr>
            </w:pPr>
          </w:p>
        </w:tc>
        <w:tc>
          <w:tcPr>
            <w:tcW w:w="1906" w:type="dxa"/>
            <w:tcBorders>
              <w:tl2br w:val="nil"/>
              <w:tr2bl w:val="nil"/>
            </w:tcBorders>
            <w:noWrap w:val="0"/>
            <w:vAlign w:val="center"/>
          </w:tcPr>
          <w:p>
            <w:pPr>
              <w:keepNext w:val="0"/>
              <w:keepLines w:val="0"/>
              <w:widowControl/>
              <w:suppressLineNumbers w:val="0"/>
              <w:jc w:val="left"/>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个体诊所</w:t>
            </w:r>
          </w:p>
        </w:tc>
        <w:tc>
          <w:tcPr>
            <w:tcW w:w="1620"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按实际经营 面积</w:t>
            </w:r>
          </w:p>
        </w:tc>
        <w:tc>
          <w:tcPr>
            <w:tcW w:w="1785"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30元/月</w:t>
            </w:r>
          </w:p>
        </w:tc>
        <w:tc>
          <w:tcPr>
            <w:tcW w:w="5924" w:type="dxa"/>
            <w:tcBorders>
              <w:tl2br w:val="nil"/>
              <w:tr2bl w:val="nil"/>
            </w:tcBorders>
            <w:noWrap w:val="0"/>
            <w:vAlign w:val="center"/>
          </w:tcPr>
          <w:p>
            <w:pPr>
              <w:keepNext w:val="0"/>
              <w:keepLines w:val="0"/>
              <w:widowControl/>
              <w:suppressLineNumbers w:val="0"/>
              <w:jc w:val="left"/>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30㎡以上部分按0.5元/㎡/月加收</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70" w:hRule="atLeast"/>
        </w:trPr>
        <w:tc>
          <w:tcPr>
            <w:tcW w:w="734" w:type="dxa"/>
            <w:vMerge w:val="continue"/>
            <w:tcBorders>
              <w:tl2br w:val="nil"/>
              <w:tr2bl w:val="nil"/>
            </w:tcBorders>
            <w:noWrap/>
            <w:vAlign w:val="center"/>
          </w:tcPr>
          <w:p>
            <w:pPr>
              <w:jc w:val="center"/>
              <w:rPr>
                <w:rFonts w:hint="default" w:ascii="Times New Roman" w:hAnsi="Times New Roman" w:eastAsia="仿宋_GB2312" w:cs="Times New Roman"/>
                <w:i w:val="0"/>
                <w:iCs w:val="0"/>
                <w:color w:val="000000"/>
                <w:sz w:val="24"/>
                <w:szCs w:val="24"/>
                <w:u w:val="none"/>
              </w:rPr>
            </w:pPr>
          </w:p>
        </w:tc>
        <w:tc>
          <w:tcPr>
            <w:tcW w:w="2070" w:type="dxa"/>
            <w:vMerge w:val="continue"/>
            <w:tcBorders>
              <w:tl2br w:val="nil"/>
              <w:tr2bl w:val="nil"/>
            </w:tcBorders>
            <w:noWrap w:val="0"/>
            <w:vAlign w:val="center"/>
          </w:tcPr>
          <w:p>
            <w:pPr>
              <w:jc w:val="both"/>
              <w:rPr>
                <w:rFonts w:hint="default" w:ascii="Times New Roman" w:hAnsi="Times New Roman" w:eastAsia="仿宋_GB2312" w:cs="Times New Roman"/>
                <w:i w:val="0"/>
                <w:iCs w:val="0"/>
                <w:color w:val="000000"/>
                <w:sz w:val="24"/>
                <w:szCs w:val="24"/>
                <w:u w:val="none"/>
              </w:rPr>
            </w:pPr>
          </w:p>
        </w:tc>
        <w:tc>
          <w:tcPr>
            <w:tcW w:w="1906" w:type="dxa"/>
            <w:tcBorders>
              <w:tl2br w:val="nil"/>
              <w:tr2bl w:val="nil"/>
            </w:tcBorders>
            <w:noWrap w:val="0"/>
            <w:vAlign w:val="center"/>
          </w:tcPr>
          <w:p>
            <w:pPr>
              <w:keepNext w:val="0"/>
              <w:keepLines w:val="0"/>
              <w:widowControl/>
              <w:suppressLineNumbers w:val="0"/>
              <w:jc w:val="left"/>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早点、夜宵摊点</w:t>
            </w:r>
          </w:p>
        </w:tc>
        <w:tc>
          <w:tcPr>
            <w:tcW w:w="1620" w:type="dxa"/>
            <w:tcBorders>
              <w:tl2br w:val="nil"/>
              <w:tr2bl w:val="nil"/>
            </w:tcBorders>
            <w:noWrap w:val="0"/>
            <w:vAlign w:val="center"/>
          </w:tcPr>
          <w:p>
            <w:pPr>
              <w:jc w:val="center"/>
              <w:rPr>
                <w:rFonts w:hint="default" w:ascii="Times New Roman" w:hAnsi="Times New Roman" w:eastAsia="仿宋_GB2312" w:cs="Times New Roman"/>
                <w:i w:val="0"/>
                <w:iCs w:val="0"/>
                <w:color w:val="000000"/>
                <w:sz w:val="24"/>
                <w:szCs w:val="24"/>
                <w:u w:val="none"/>
              </w:rPr>
            </w:pPr>
          </w:p>
        </w:tc>
        <w:tc>
          <w:tcPr>
            <w:tcW w:w="1785"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20-40元/家/月</w:t>
            </w:r>
          </w:p>
        </w:tc>
        <w:tc>
          <w:tcPr>
            <w:tcW w:w="5924" w:type="dxa"/>
            <w:tcBorders>
              <w:tl2br w:val="nil"/>
              <w:tr2bl w:val="nil"/>
            </w:tcBorders>
            <w:noWrap w:val="0"/>
            <w:vAlign w:val="center"/>
          </w:tcPr>
          <w:p>
            <w:pPr>
              <w:keepNext w:val="0"/>
              <w:keepLines w:val="0"/>
              <w:widowControl/>
              <w:suppressLineNumbers w:val="0"/>
              <w:jc w:val="left"/>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早点摊点：20元/月；夜宵：40元/月，超过4桌的每桌按5元/月加收。</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55" w:hRule="atLeast"/>
        </w:trPr>
        <w:tc>
          <w:tcPr>
            <w:tcW w:w="734" w:type="dxa"/>
            <w:vMerge w:val="continue"/>
            <w:tcBorders>
              <w:tl2br w:val="nil"/>
              <w:tr2bl w:val="nil"/>
            </w:tcBorders>
            <w:noWrap/>
            <w:vAlign w:val="center"/>
          </w:tcPr>
          <w:p>
            <w:pPr>
              <w:jc w:val="center"/>
              <w:rPr>
                <w:rFonts w:hint="default" w:ascii="Times New Roman" w:hAnsi="Times New Roman" w:eastAsia="仿宋_GB2312" w:cs="Times New Roman"/>
                <w:i w:val="0"/>
                <w:iCs w:val="0"/>
                <w:color w:val="000000"/>
                <w:sz w:val="24"/>
                <w:szCs w:val="24"/>
                <w:u w:val="none"/>
              </w:rPr>
            </w:pPr>
          </w:p>
        </w:tc>
        <w:tc>
          <w:tcPr>
            <w:tcW w:w="2070" w:type="dxa"/>
            <w:vMerge w:val="continue"/>
            <w:tcBorders>
              <w:tl2br w:val="nil"/>
              <w:tr2bl w:val="nil"/>
            </w:tcBorders>
            <w:noWrap w:val="0"/>
            <w:vAlign w:val="center"/>
          </w:tcPr>
          <w:p>
            <w:pPr>
              <w:jc w:val="both"/>
              <w:rPr>
                <w:rFonts w:hint="default" w:ascii="Times New Roman" w:hAnsi="Times New Roman" w:eastAsia="仿宋_GB2312" w:cs="Times New Roman"/>
                <w:i w:val="0"/>
                <w:iCs w:val="0"/>
                <w:color w:val="000000"/>
                <w:sz w:val="24"/>
                <w:szCs w:val="24"/>
                <w:u w:val="none"/>
              </w:rPr>
            </w:pPr>
          </w:p>
        </w:tc>
        <w:tc>
          <w:tcPr>
            <w:tcW w:w="1906" w:type="dxa"/>
            <w:tcBorders>
              <w:tl2br w:val="nil"/>
              <w:tr2bl w:val="nil"/>
            </w:tcBorders>
            <w:noWrap w:val="0"/>
            <w:vAlign w:val="center"/>
          </w:tcPr>
          <w:p>
            <w:pPr>
              <w:keepNext w:val="0"/>
              <w:keepLines w:val="0"/>
              <w:widowControl/>
              <w:suppressLineNumbers w:val="0"/>
              <w:jc w:val="left"/>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零星摊点</w:t>
            </w:r>
          </w:p>
        </w:tc>
        <w:tc>
          <w:tcPr>
            <w:tcW w:w="1620" w:type="dxa"/>
            <w:tcBorders>
              <w:tl2br w:val="nil"/>
              <w:tr2bl w:val="nil"/>
            </w:tcBorders>
            <w:noWrap w:val="0"/>
            <w:vAlign w:val="center"/>
          </w:tcPr>
          <w:p>
            <w:pPr>
              <w:jc w:val="center"/>
              <w:rPr>
                <w:rFonts w:hint="default" w:ascii="Times New Roman" w:hAnsi="Times New Roman" w:eastAsia="仿宋_GB2312" w:cs="Times New Roman"/>
                <w:i w:val="0"/>
                <w:iCs w:val="0"/>
                <w:color w:val="000000"/>
                <w:sz w:val="24"/>
                <w:szCs w:val="24"/>
                <w:u w:val="none"/>
              </w:rPr>
            </w:pPr>
          </w:p>
        </w:tc>
        <w:tc>
          <w:tcPr>
            <w:tcW w:w="1785"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10-20元/个/月</w:t>
            </w:r>
          </w:p>
        </w:tc>
        <w:tc>
          <w:tcPr>
            <w:tcW w:w="5924" w:type="dxa"/>
            <w:tcBorders>
              <w:tl2br w:val="nil"/>
              <w:tr2bl w:val="nil"/>
            </w:tcBorders>
            <w:noWrap w:val="0"/>
            <w:vAlign w:val="center"/>
          </w:tcPr>
          <w:p>
            <w:pPr>
              <w:keepNext w:val="0"/>
              <w:keepLines w:val="0"/>
              <w:widowControl/>
              <w:suppressLineNumbers w:val="0"/>
              <w:jc w:val="left"/>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电话亭、书报刊点、冰柜、香烟副食摊点、修钟表、配钥匙、擦鞋、其他固定小摊点等10元/个/月；炒粉、盒饭、水果摊点（自备垃圾容器）20元/个/月。</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35" w:hRule="atLeast"/>
        </w:trPr>
        <w:tc>
          <w:tcPr>
            <w:tcW w:w="734" w:type="dxa"/>
            <w:vMerge w:val="continue"/>
            <w:tcBorders>
              <w:tl2br w:val="nil"/>
              <w:tr2bl w:val="nil"/>
            </w:tcBorders>
            <w:noWrap/>
            <w:vAlign w:val="center"/>
          </w:tcPr>
          <w:p>
            <w:pPr>
              <w:jc w:val="center"/>
              <w:rPr>
                <w:rFonts w:hint="default" w:ascii="Times New Roman" w:hAnsi="Times New Roman" w:eastAsia="仿宋_GB2312" w:cs="Times New Roman"/>
                <w:i w:val="0"/>
                <w:iCs w:val="0"/>
                <w:color w:val="000000"/>
                <w:sz w:val="24"/>
                <w:szCs w:val="24"/>
                <w:u w:val="none"/>
              </w:rPr>
            </w:pPr>
          </w:p>
        </w:tc>
        <w:tc>
          <w:tcPr>
            <w:tcW w:w="2070" w:type="dxa"/>
            <w:vMerge w:val="continue"/>
            <w:tcBorders>
              <w:tl2br w:val="nil"/>
              <w:tr2bl w:val="nil"/>
            </w:tcBorders>
            <w:noWrap w:val="0"/>
            <w:vAlign w:val="center"/>
          </w:tcPr>
          <w:p>
            <w:pPr>
              <w:jc w:val="both"/>
              <w:rPr>
                <w:rFonts w:hint="default" w:ascii="Times New Roman" w:hAnsi="Times New Roman" w:eastAsia="仿宋_GB2312" w:cs="Times New Roman"/>
                <w:i w:val="0"/>
                <w:iCs w:val="0"/>
                <w:color w:val="000000"/>
                <w:sz w:val="24"/>
                <w:szCs w:val="24"/>
                <w:u w:val="none"/>
              </w:rPr>
            </w:pPr>
          </w:p>
        </w:tc>
        <w:tc>
          <w:tcPr>
            <w:tcW w:w="1906" w:type="dxa"/>
            <w:tcBorders>
              <w:tl2br w:val="nil"/>
              <w:tr2bl w:val="nil"/>
            </w:tcBorders>
            <w:noWrap w:val="0"/>
            <w:vAlign w:val="center"/>
          </w:tcPr>
          <w:p>
            <w:pPr>
              <w:keepNext w:val="0"/>
              <w:keepLines w:val="0"/>
              <w:widowControl/>
              <w:suppressLineNumbers w:val="0"/>
              <w:jc w:val="left"/>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其他零星摊点</w:t>
            </w:r>
          </w:p>
        </w:tc>
        <w:tc>
          <w:tcPr>
            <w:tcW w:w="1620" w:type="dxa"/>
            <w:tcBorders>
              <w:tl2br w:val="nil"/>
              <w:tr2bl w:val="nil"/>
            </w:tcBorders>
            <w:noWrap w:val="0"/>
            <w:vAlign w:val="center"/>
          </w:tcPr>
          <w:p>
            <w:pPr>
              <w:jc w:val="center"/>
              <w:rPr>
                <w:rFonts w:hint="default" w:ascii="Times New Roman" w:hAnsi="Times New Roman" w:eastAsia="仿宋_GB2312" w:cs="Times New Roman"/>
                <w:i w:val="0"/>
                <w:iCs w:val="0"/>
                <w:color w:val="000000"/>
                <w:sz w:val="24"/>
                <w:szCs w:val="24"/>
                <w:u w:val="none"/>
              </w:rPr>
            </w:pPr>
          </w:p>
        </w:tc>
        <w:tc>
          <w:tcPr>
            <w:tcW w:w="1785"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2元/天</w:t>
            </w:r>
          </w:p>
        </w:tc>
        <w:tc>
          <w:tcPr>
            <w:tcW w:w="5924" w:type="dxa"/>
            <w:tcBorders>
              <w:tl2br w:val="nil"/>
              <w:tr2bl w:val="nil"/>
            </w:tcBorders>
            <w:noWrap w:val="0"/>
            <w:vAlign w:val="center"/>
          </w:tcPr>
          <w:p>
            <w:pPr>
              <w:keepNext w:val="0"/>
              <w:keepLines w:val="0"/>
              <w:widowControl/>
              <w:suppressLineNumbers w:val="0"/>
              <w:jc w:val="left"/>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仅指临时摊点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90" w:hRule="atLeast"/>
        </w:trPr>
        <w:tc>
          <w:tcPr>
            <w:tcW w:w="734" w:type="dxa"/>
            <w:vMerge w:val="continue"/>
            <w:tcBorders>
              <w:tl2br w:val="nil"/>
              <w:tr2bl w:val="nil"/>
            </w:tcBorders>
            <w:noWrap/>
            <w:vAlign w:val="center"/>
          </w:tcPr>
          <w:p>
            <w:pPr>
              <w:jc w:val="center"/>
              <w:rPr>
                <w:rFonts w:hint="default" w:ascii="Times New Roman" w:hAnsi="Times New Roman" w:eastAsia="仿宋_GB2312" w:cs="Times New Roman"/>
                <w:i w:val="0"/>
                <w:iCs w:val="0"/>
                <w:color w:val="000000"/>
                <w:sz w:val="24"/>
                <w:szCs w:val="24"/>
                <w:u w:val="none"/>
              </w:rPr>
            </w:pPr>
          </w:p>
        </w:tc>
        <w:tc>
          <w:tcPr>
            <w:tcW w:w="2070" w:type="dxa"/>
            <w:vMerge w:val="continue"/>
            <w:tcBorders>
              <w:tl2br w:val="nil"/>
              <w:tr2bl w:val="nil"/>
            </w:tcBorders>
            <w:noWrap w:val="0"/>
            <w:vAlign w:val="center"/>
          </w:tcPr>
          <w:p>
            <w:pPr>
              <w:jc w:val="both"/>
              <w:rPr>
                <w:rFonts w:hint="default" w:ascii="Times New Roman" w:hAnsi="Times New Roman" w:eastAsia="仿宋_GB2312" w:cs="Times New Roman"/>
                <w:i w:val="0"/>
                <w:iCs w:val="0"/>
                <w:color w:val="000000"/>
                <w:sz w:val="24"/>
                <w:szCs w:val="24"/>
                <w:u w:val="none"/>
              </w:rPr>
            </w:pPr>
          </w:p>
        </w:tc>
        <w:tc>
          <w:tcPr>
            <w:tcW w:w="1906" w:type="dxa"/>
            <w:tcBorders>
              <w:tl2br w:val="nil"/>
              <w:tr2bl w:val="nil"/>
            </w:tcBorders>
            <w:noWrap w:val="0"/>
            <w:vAlign w:val="center"/>
          </w:tcPr>
          <w:p>
            <w:pPr>
              <w:keepNext w:val="0"/>
              <w:keepLines w:val="0"/>
              <w:widowControl/>
              <w:suppressLineNumbers w:val="0"/>
              <w:jc w:val="left"/>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大、小车修理</w:t>
            </w:r>
          </w:p>
        </w:tc>
        <w:tc>
          <w:tcPr>
            <w:tcW w:w="1620" w:type="dxa"/>
            <w:tcBorders>
              <w:tl2br w:val="nil"/>
              <w:tr2bl w:val="nil"/>
            </w:tcBorders>
            <w:noWrap w:val="0"/>
            <w:vAlign w:val="center"/>
          </w:tcPr>
          <w:p>
            <w:pPr>
              <w:rPr>
                <w:rFonts w:hint="default" w:ascii="Times New Roman" w:hAnsi="Times New Roman" w:eastAsia="仿宋_GB2312" w:cs="Times New Roman"/>
                <w:i w:val="0"/>
                <w:iCs w:val="0"/>
                <w:color w:val="000000"/>
                <w:sz w:val="24"/>
                <w:szCs w:val="24"/>
                <w:u w:val="none"/>
              </w:rPr>
            </w:pPr>
          </w:p>
        </w:tc>
        <w:tc>
          <w:tcPr>
            <w:tcW w:w="1785"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60元/家/月</w:t>
            </w:r>
          </w:p>
        </w:tc>
        <w:tc>
          <w:tcPr>
            <w:tcW w:w="5924" w:type="dxa"/>
            <w:tcBorders>
              <w:tl2br w:val="nil"/>
              <w:tr2bl w:val="nil"/>
            </w:tcBorders>
            <w:noWrap w:val="0"/>
            <w:vAlign w:val="center"/>
          </w:tcPr>
          <w:p>
            <w:pPr>
              <w:keepNext w:val="0"/>
              <w:keepLines w:val="0"/>
              <w:widowControl/>
              <w:suppressLineNumbers w:val="0"/>
              <w:jc w:val="left"/>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含农用车修理。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80" w:hRule="atLeast"/>
        </w:trPr>
        <w:tc>
          <w:tcPr>
            <w:tcW w:w="734" w:type="dxa"/>
            <w:vMerge w:val="continue"/>
            <w:tcBorders>
              <w:tl2br w:val="nil"/>
              <w:tr2bl w:val="nil"/>
            </w:tcBorders>
            <w:noWrap/>
            <w:vAlign w:val="center"/>
          </w:tcPr>
          <w:p>
            <w:pPr>
              <w:jc w:val="center"/>
              <w:rPr>
                <w:rFonts w:hint="default" w:ascii="Times New Roman" w:hAnsi="Times New Roman" w:eastAsia="仿宋_GB2312" w:cs="Times New Roman"/>
                <w:i w:val="0"/>
                <w:iCs w:val="0"/>
                <w:color w:val="000000"/>
                <w:sz w:val="24"/>
                <w:szCs w:val="24"/>
                <w:u w:val="none"/>
              </w:rPr>
            </w:pPr>
          </w:p>
        </w:tc>
        <w:tc>
          <w:tcPr>
            <w:tcW w:w="2070" w:type="dxa"/>
            <w:vMerge w:val="continue"/>
            <w:tcBorders>
              <w:tl2br w:val="nil"/>
              <w:tr2bl w:val="nil"/>
            </w:tcBorders>
            <w:noWrap w:val="0"/>
            <w:vAlign w:val="center"/>
          </w:tcPr>
          <w:p>
            <w:pPr>
              <w:jc w:val="both"/>
              <w:rPr>
                <w:rFonts w:hint="default" w:ascii="Times New Roman" w:hAnsi="Times New Roman" w:eastAsia="仿宋_GB2312" w:cs="Times New Roman"/>
                <w:i w:val="0"/>
                <w:iCs w:val="0"/>
                <w:color w:val="000000"/>
                <w:sz w:val="24"/>
                <w:szCs w:val="24"/>
                <w:u w:val="none"/>
              </w:rPr>
            </w:pPr>
          </w:p>
        </w:tc>
        <w:tc>
          <w:tcPr>
            <w:tcW w:w="1906" w:type="dxa"/>
            <w:tcBorders>
              <w:tl2br w:val="nil"/>
              <w:tr2bl w:val="nil"/>
            </w:tcBorders>
            <w:noWrap w:val="0"/>
            <w:vAlign w:val="center"/>
          </w:tcPr>
          <w:p>
            <w:pPr>
              <w:keepNext w:val="0"/>
              <w:keepLines w:val="0"/>
              <w:widowControl/>
              <w:suppressLineNumbers w:val="0"/>
              <w:jc w:val="left"/>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摩托车修理</w:t>
            </w:r>
          </w:p>
        </w:tc>
        <w:tc>
          <w:tcPr>
            <w:tcW w:w="1620" w:type="dxa"/>
            <w:tcBorders>
              <w:tl2br w:val="nil"/>
              <w:tr2bl w:val="nil"/>
            </w:tcBorders>
            <w:noWrap w:val="0"/>
            <w:vAlign w:val="center"/>
          </w:tcPr>
          <w:p>
            <w:pPr>
              <w:rPr>
                <w:rFonts w:hint="default" w:ascii="Times New Roman" w:hAnsi="Times New Roman" w:eastAsia="仿宋_GB2312" w:cs="Times New Roman"/>
                <w:i w:val="0"/>
                <w:iCs w:val="0"/>
                <w:color w:val="000000"/>
                <w:sz w:val="24"/>
                <w:szCs w:val="24"/>
                <w:u w:val="none"/>
              </w:rPr>
            </w:pPr>
          </w:p>
        </w:tc>
        <w:tc>
          <w:tcPr>
            <w:tcW w:w="1785"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40元/家/月</w:t>
            </w:r>
          </w:p>
        </w:tc>
        <w:tc>
          <w:tcPr>
            <w:tcW w:w="5924" w:type="dxa"/>
            <w:tcBorders>
              <w:tl2br w:val="nil"/>
              <w:tr2bl w:val="nil"/>
            </w:tcBorders>
            <w:noWrap w:val="0"/>
            <w:vAlign w:val="center"/>
          </w:tcPr>
          <w:p>
            <w:pPr>
              <w:jc w:val="left"/>
              <w:rPr>
                <w:rFonts w:hint="default" w:ascii="Times New Roman" w:hAnsi="Times New Roman" w:eastAsia="仿宋_GB2312" w:cs="Times New Roman"/>
                <w:i w:val="0"/>
                <w:iCs w:val="0"/>
                <w:color w:val="000000"/>
                <w:sz w:val="24"/>
                <w:szCs w:val="24"/>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60" w:hRule="atLeast"/>
        </w:trPr>
        <w:tc>
          <w:tcPr>
            <w:tcW w:w="734" w:type="dxa"/>
            <w:vMerge w:val="continue"/>
            <w:tcBorders>
              <w:tl2br w:val="nil"/>
              <w:tr2bl w:val="nil"/>
            </w:tcBorders>
            <w:noWrap/>
            <w:vAlign w:val="center"/>
          </w:tcPr>
          <w:p>
            <w:pPr>
              <w:jc w:val="center"/>
              <w:rPr>
                <w:rFonts w:hint="default" w:ascii="Times New Roman" w:hAnsi="Times New Roman" w:eastAsia="仿宋_GB2312" w:cs="Times New Roman"/>
                <w:i w:val="0"/>
                <w:iCs w:val="0"/>
                <w:color w:val="000000"/>
                <w:sz w:val="24"/>
                <w:szCs w:val="24"/>
                <w:u w:val="none"/>
              </w:rPr>
            </w:pPr>
          </w:p>
        </w:tc>
        <w:tc>
          <w:tcPr>
            <w:tcW w:w="2070" w:type="dxa"/>
            <w:vMerge w:val="continue"/>
            <w:tcBorders>
              <w:tl2br w:val="nil"/>
              <w:tr2bl w:val="nil"/>
            </w:tcBorders>
            <w:noWrap w:val="0"/>
            <w:vAlign w:val="center"/>
          </w:tcPr>
          <w:p>
            <w:pPr>
              <w:jc w:val="both"/>
              <w:rPr>
                <w:rFonts w:hint="default" w:ascii="Times New Roman" w:hAnsi="Times New Roman" w:eastAsia="仿宋_GB2312" w:cs="Times New Roman"/>
                <w:i w:val="0"/>
                <w:iCs w:val="0"/>
                <w:color w:val="000000"/>
                <w:sz w:val="24"/>
                <w:szCs w:val="24"/>
                <w:u w:val="none"/>
              </w:rPr>
            </w:pPr>
          </w:p>
        </w:tc>
        <w:tc>
          <w:tcPr>
            <w:tcW w:w="1906" w:type="dxa"/>
            <w:tcBorders>
              <w:tl2br w:val="nil"/>
              <w:tr2bl w:val="nil"/>
            </w:tcBorders>
            <w:noWrap w:val="0"/>
            <w:vAlign w:val="center"/>
          </w:tcPr>
          <w:p>
            <w:pPr>
              <w:keepNext w:val="0"/>
              <w:keepLines w:val="0"/>
              <w:widowControl/>
              <w:suppressLineNumbers w:val="0"/>
              <w:jc w:val="left"/>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自行车修理</w:t>
            </w:r>
          </w:p>
        </w:tc>
        <w:tc>
          <w:tcPr>
            <w:tcW w:w="1620" w:type="dxa"/>
            <w:tcBorders>
              <w:tl2br w:val="nil"/>
              <w:tr2bl w:val="nil"/>
            </w:tcBorders>
            <w:noWrap w:val="0"/>
            <w:vAlign w:val="center"/>
          </w:tcPr>
          <w:p>
            <w:pPr>
              <w:rPr>
                <w:rFonts w:hint="default" w:ascii="Times New Roman" w:hAnsi="Times New Roman" w:eastAsia="仿宋_GB2312" w:cs="Times New Roman"/>
                <w:i w:val="0"/>
                <w:iCs w:val="0"/>
                <w:color w:val="000000"/>
                <w:sz w:val="24"/>
                <w:szCs w:val="24"/>
                <w:u w:val="none"/>
              </w:rPr>
            </w:pPr>
          </w:p>
        </w:tc>
        <w:tc>
          <w:tcPr>
            <w:tcW w:w="1785"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10元/家/月</w:t>
            </w:r>
          </w:p>
        </w:tc>
        <w:tc>
          <w:tcPr>
            <w:tcW w:w="5924" w:type="dxa"/>
            <w:tcBorders>
              <w:tl2br w:val="nil"/>
              <w:tr2bl w:val="nil"/>
            </w:tcBorders>
            <w:noWrap w:val="0"/>
            <w:vAlign w:val="center"/>
          </w:tcPr>
          <w:p>
            <w:pPr>
              <w:jc w:val="left"/>
              <w:rPr>
                <w:rFonts w:hint="default" w:ascii="Times New Roman" w:hAnsi="Times New Roman" w:eastAsia="仿宋_GB2312" w:cs="Times New Roman"/>
                <w:i w:val="0"/>
                <w:iCs w:val="0"/>
                <w:color w:val="000000"/>
                <w:sz w:val="24"/>
                <w:szCs w:val="24"/>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90" w:hRule="atLeast"/>
        </w:trPr>
        <w:tc>
          <w:tcPr>
            <w:tcW w:w="734" w:type="dxa"/>
            <w:vMerge w:val="continue"/>
            <w:tcBorders>
              <w:tl2br w:val="nil"/>
              <w:tr2bl w:val="nil"/>
            </w:tcBorders>
            <w:noWrap/>
            <w:vAlign w:val="center"/>
          </w:tcPr>
          <w:p>
            <w:pPr>
              <w:jc w:val="center"/>
              <w:rPr>
                <w:rFonts w:hint="default" w:ascii="Times New Roman" w:hAnsi="Times New Roman" w:eastAsia="仿宋_GB2312" w:cs="Times New Roman"/>
                <w:i w:val="0"/>
                <w:iCs w:val="0"/>
                <w:color w:val="000000"/>
                <w:sz w:val="24"/>
                <w:szCs w:val="24"/>
                <w:u w:val="none"/>
              </w:rPr>
            </w:pPr>
          </w:p>
        </w:tc>
        <w:tc>
          <w:tcPr>
            <w:tcW w:w="2070" w:type="dxa"/>
            <w:vMerge w:val="continue"/>
            <w:tcBorders>
              <w:tl2br w:val="nil"/>
              <w:tr2bl w:val="nil"/>
            </w:tcBorders>
            <w:noWrap w:val="0"/>
            <w:vAlign w:val="center"/>
          </w:tcPr>
          <w:p>
            <w:pPr>
              <w:jc w:val="both"/>
              <w:rPr>
                <w:rFonts w:hint="default" w:ascii="Times New Roman" w:hAnsi="Times New Roman" w:eastAsia="仿宋_GB2312" w:cs="Times New Roman"/>
                <w:i w:val="0"/>
                <w:iCs w:val="0"/>
                <w:color w:val="000000"/>
                <w:sz w:val="24"/>
                <w:szCs w:val="24"/>
                <w:u w:val="none"/>
              </w:rPr>
            </w:pPr>
          </w:p>
        </w:tc>
        <w:tc>
          <w:tcPr>
            <w:tcW w:w="1906" w:type="dxa"/>
            <w:tcBorders>
              <w:tl2br w:val="nil"/>
              <w:tr2bl w:val="nil"/>
            </w:tcBorders>
            <w:noWrap w:val="0"/>
            <w:vAlign w:val="center"/>
          </w:tcPr>
          <w:p>
            <w:pPr>
              <w:keepNext w:val="0"/>
              <w:keepLines w:val="0"/>
              <w:widowControl/>
              <w:suppressLineNumbers w:val="0"/>
              <w:jc w:val="left"/>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电器修理</w:t>
            </w:r>
          </w:p>
        </w:tc>
        <w:tc>
          <w:tcPr>
            <w:tcW w:w="1620" w:type="dxa"/>
            <w:tcBorders>
              <w:tl2br w:val="nil"/>
              <w:tr2bl w:val="nil"/>
            </w:tcBorders>
            <w:noWrap w:val="0"/>
            <w:vAlign w:val="center"/>
          </w:tcPr>
          <w:p>
            <w:pPr>
              <w:rPr>
                <w:rFonts w:hint="default" w:ascii="Times New Roman" w:hAnsi="Times New Roman" w:eastAsia="仿宋_GB2312" w:cs="Times New Roman"/>
                <w:i w:val="0"/>
                <w:iCs w:val="0"/>
                <w:color w:val="000000"/>
                <w:sz w:val="24"/>
                <w:szCs w:val="24"/>
                <w:u w:val="none"/>
              </w:rPr>
            </w:pPr>
          </w:p>
        </w:tc>
        <w:tc>
          <w:tcPr>
            <w:tcW w:w="1785"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10元/家/月</w:t>
            </w:r>
          </w:p>
        </w:tc>
        <w:tc>
          <w:tcPr>
            <w:tcW w:w="5924" w:type="dxa"/>
            <w:tcBorders>
              <w:tl2br w:val="nil"/>
              <w:tr2bl w:val="nil"/>
            </w:tcBorders>
            <w:noWrap w:val="0"/>
            <w:vAlign w:val="center"/>
          </w:tcPr>
          <w:p>
            <w:pPr>
              <w:jc w:val="left"/>
              <w:rPr>
                <w:rFonts w:hint="default" w:ascii="Times New Roman" w:hAnsi="Times New Roman" w:eastAsia="仿宋_GB2312" w:cs="Times New Roman"/>
                <w:i w:val="0"/>
                <w:iCs w:val="0"/>
                <w:color w:val="000000"/>
                <w:sz w:val="24"/>
                <w:szCs w:val="24"/>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00" w:hRule="atLeast"/>
        </w:trPr>
        <w:tc>
          <w:tcPr>
            <w:tcW w:w="734" w:type="dxa"/>
            <w:vMerge w:val="restart"/>
            <w:tcBorders>
              <w:tl2br w:val="nil"/>
              <w:tr2bl w:val="nil"/>
            </w:tcBorders>
            <w:noWrap/>
            <w:vAlign w:val="center"/>
          </w:tcPr>
          <w:p>
            <w:pPr>
              <w:jc w:val="center"/>
              <w:rPr>
                <w:rFonts w:hint="default" w:ascii="Times New Roman" w:hAnsi="Times New Roman" w:eastAsia="仿宋_GB2312" w:cs="Times New Roman"/>
                <w:i w:val="0"/>
                <w:iCs w:val="0"/>
                <w:color w:val="000000"/>
                <w:sz w:val="24"/>
                <w:szCs w:val="24"/>
                <w:u w:val="none"/>
                <w:lang w:val="en-US" w:eastAsia="zh-CN"/>
              </w:rPr>
            </w:pPr>
            <w:r>
              <w:rPr>
                <w:rFonts w:hint="default" w:ascii="Times New Roman" w:hAnsi="Times New Roman" w:eastAsia="仿宋_GB2312" w:cs="Times New Roman"/>
                <w:i w:val="0"/>
                <w:iCs w:val="0"/>
                <w:color w:val="000000"/>
                <w:sz w:val="24"/>
                <w:szCs w:val="24"/>
                <w:u w:val="none"/>
                <w:lang w:val="en-US" w:eastAsia="zh-CN"/>
              </w:rPr>
              <w:t>4</w:t>
            </w:r>
          </w:p>
        </w:tc>
        <w:tc>
          <w:tcPr>
            <w:tcW w:w="2070" w:type="dxa"/>
            <w:vMerge w:val="restart"/>
            <w:tcBorders>
              <w:tl2br w:val="nil"/>
              <w:tr2bl w:val="nil"/>
            </w:tcBorders>
            <w:noWrap w:val="0"/>
            <w:vAlign w:val="center"/>
          </w:tcPr>
          <w:p>
            <w:pPr>
              <w:jc w:val="both"/>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商业及其他行业类</w:t>
            </w:r>
          </w:p>
        </w:tc>
        <w:tc>
          <w:tcPr>
            <w:tcW w:w="1906" w:type="dxa"/>
            <w:tcBorders>
              <w:tl2br w:val="nil"/>
              <w:tr2bl w:val="nil"/>
            </w:tcBorders>
            <w:noWrap w:val="0"/>
            <w:vAlign w:val="center"/>
          </w:tcPr>
          <w:p>
            <w:pPr>
              <w:keepNext w:val="0"/>
              <w:keepLines w:val="0"/>
              <w:widowControl/>
              <w:suppressLineNumbers w:val="0"/>
              <w:jc w:val="left"/>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户外临时性宣传演出、展销促销（含散发宣传品）等经营性活动</w:t>
            </w:r>
          </w:p>
        </w:tc>
        <w:tc>
          <w:tcPr>
            <w:tcW w:w="1620" w:type="dxa"/>
            <w:tcBorders>
              <w:tl2br w:val="nil"/>
              <w:tr2bl w:val="nil"/>
            </w:tcBorders>
            <w:noWrap w:val="0"/>
            <w:vAlign w:val="center"/>
          </w:tcPr>
          <w:p>
            <w:pPr>
              <w:jc w:val="center"/>
              <w:rPr>
                <w:rFonts w:hint="default" w:ascii="Times New Roman" w:hAnsi="Times New Roman" w:eastAsia="仿宋_GB2312" w:cs="Times New Roman"/>
                <w:i w:val="0"/>
                <w:iCs w:val="0"/>
                <w:color w:val="000000"/>
                <w:sz w:val="24"/>
                <w:szCs w:val="24"/>
                <w:u w:val="none"/>
              </w:rPr>
            </w:pPr>
          </w:p>
        </w:tc>
        <w:tc>
          <w:tcPr>
            <w:tcW w:w="1785"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50元/天（次）场</w:t>
            </w:r>
          </w:p>
        </w:tc>
        <w:tc>
          <w:tcPr>
            <w:tcW w:w="5924" w:type="dxa"/>
            <w:tcBorders>
              <w:tl2br w:val="nil"/>
              <w:tr2bl w:val="nil"/>
            </w:tcBorders>
            <w:noWrap w:val="0"/>
            <w:vAlign w:val="center"/>
          </w:tcPr>
          <w:p>
            <w:pPr>
              <w:keepNext w:val="0"/>
              <w:keepLines w:val="0"/>
              <w:widowControl/>
              <w:suppressLineNumbers w:val="0"/>
              <w:jc w:val="left"/>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100㎡以上的，每增加100㎡加收50元。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00" w:hRule="atLeast"/>
        </w:trPr>
        <w:tc>
          <w:tcPr>
            <w:tcW w:w="734" w:type="dxa"/>
            <w:vMerge w:val="continue"/>
            <w:tcBorders>
              <w:tl2br w:val="nil"/>
              <w:tr2bl w:val="nil"/>
            </w:tcBorders>
            <w:noWrap/>
            <w:vAlign w:val="center"/>
          </w:tcPr>
          <w:p>
            <w:pPr>
              <w:jc w:val="center"/>
              <w:rPr>
                <w:rFonts w:hint="default" w:ascii="Times New Roman" w:hAnsi="Times New Roman" w:eastAsia="仿宋_GB2312" w:cs="Times New Roman"/>
                <w:i w:val="0"/>
                <w:iCs w:val="0"/>
                <w:color w:val="000000"/>
                <w:sz w:val="24"/>
                <w:szCs w:val="24"/>
                <w:u w:val="none"/>
              </w:rPr>
            </w:pPr>
          </w:p>
        </w:tc>
        <w:tc>
          <w:tcPr>
            <w:tcW w:w="2070" w:type="dxa"/>
            <w:vMerge w:val="continue"/>
            <w:tcBorders>
              <w:tl2br w:val="nil"/>
              <w:tr2bl w:val="nil"/>
            </w:tcBorders>
            <w:noWrap w:val="0"/>
            <w:vAlign w:val="center"/>
          </w:tcPr>
          <w:p>
            <w:pPr>
              <w:jc w:val="center"/>
              <w:rPr>
                <w:rFonts w:hint="default" w:ascii="Times New Roman" w:hAnsi="Times New Roman" w:eastAsia="仿宋_GB2312" w:cs="Times New Roman"/>
                <w:i w:val="0"/>
                <w:iCs w:val="0"/>
                <w:color w:val="000000"/>
                <w:sz w:val="24"/>
                <w:szCs w:val="24"/>
                <w:u w:val="none"/>
              </w:rPr>
            </w:pPr>
          </w:p>
        </w:tc>
        <w:tc>
          <w:tcPr>
            <w:tcW w:w="1906" w:type="dxa"/>
            <w:tcBorders>
              <w:tl2br w:val="nil"/>
              <w:tr2bl w:val="nil"/>
            </w:tcBorders>
            <w:noWrap w:val="0"/>
            <w:vAlign w:val="center"/>
          </w:tcPr>
          <w:p>
            <w:pPr>
              <w:keepNext w:val="0"/>
              <w:keepLines w:val="0"/>
              <w:widowControl/>
              <w:suppressLineNumbers w:val="0"/>
              <w:jc w:val="left"/>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冷饮加工、销售</w:t>
            </w:r>
          </w:p>
        </w:tc>
        <w:tc>
          <w:tcPr>
            <w:tcW w:w="1620" w:type="dxa"/>
            <w:tcBorders>
              <w:tl2br w:val="nil"/>
              <w:tr2bl w:val="nil"/>
            </w:tcBorders>
            <w:noWrap w:val="0"/>
            <w:vAlign w:val="center"/>
          </w:tcPr>
          <w:p>
            <w:pPr>
              <w:rPr>
                <w:rFonts w:hint="default" w:ascii="Times New Roman" w:hAnsi="Times New Roman" w:eastAsia="仿宋_GB2312" w:cs="Times New Roman"/>
                <w:i w:val="0"/>
                <w:iCs w:val="0"/>
                <w:color w:val="000000"/>
                <w:sz w:val="24"/>
                <w:szCs w:val="24"/>
                <w:u w:val="none"/>
              </w:rPr>
            </w:pPr>
          </w:p>
        </w:tc>
        <w:tc>
          <w:tcPr>
            <w:tcW w:w="1785"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400元/家/年</w:t>
            </w:r>
          </w:p>
        </w:tc>
        <w:tc>
          <w:tcPr>
            <w:tcW w:w="5924" w:type="dxa"/>
            <w:tcBorders>
              <w:tl2br w:val="nil"/>
              <w:tr2bl w:val="nil"/>
            </w:tcBorders>
            <w:noWrap w:val="0"/>
            <w:vAlign w:val="center"/>
          </w:tcPr>
          <w:p>
            <w:pPr>
              <w:jc w:val="left"/>
              <w:rPr>
                <w:rFonts w:hint="default" w:ascii="Times New Roman" w:hAnsi="Times New Roman" w:eastAsia="仿宋_GB2312" w:cs="Times New Roman"/>
                <w:i w:val="0"/>
                <w:iCs w:val="0"/>
                <w:color w:val="000000"/>
                <w:sz w:val="24"/>
                <w:szCs w:val="24"/>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00" w:hRule="atLeast"/>
        </w:trPr>
        <w:tc>
          <w:tcPr>
            <w:tcW w:w="734" w:type="dxa"/>
            <w:vMerge w:val="continue"/>
            <w:tcBorders>
              <w:tl2br w:val="nil"/>
              <w:tr2bl w:val="nil"/>
            </w:tcBorders>
            <w:noWrap/>
            <w:vAlign w:val="center"/>
          </w:tcPr>
          <w:p>
            <w:pPr>
              <w:jc w:val="center"/>
              <w:rPr>
                <w:rFonts w:hint="default" w:ascii="Times New Roman" w:hAnsi="Times New Roman" w:eastAsia="仿宋_GB2312" w:cs="Times New Roman"/>
                <w:i w:val="0"/>
                <w:iCs w:val="0"/>
                <w:color w:val="000000"/>
                <w:sz w:val="24"/>
                <w:szCs w:val="24"/>
                <w:u w:val="none"/>
              </w:rPr>
            </w:pPr>
          </w:p>
        </w:tc>
        <w:tc>
          <w:tcPr>
            <w:tcW w:w="2070" w:type="dxa"/>
            <w:vMerge w:val="continue"/>
            <w:tcBorders>
              <w:tl2br w:val="nil"/>
              <w:tr2bl w:val="nil"/>
            </w:tcBorders>
            <w:noWrap w:val="0"/>
            <w:vAlign w:val="center"/>
          </w:tcPr>
          <w:p>
            <w:pPr>
              <w:jc w:val="center"/>
              <w:rPr>
                <w:rFonts w:hint="default" w:ascii="Times New Roman" w:hAnsi="Times New Roman" w:eastAsia="仿宋_GB2312" w:cs="Times New Roman"/>
                <w:i w:val="0"/>
                <w:iCs w:val="0"/>
                <w:color w:val="000000"/>
                <w:sz w:val="24"/>
                <w:szCs w:val="24"/>
                <w:u w:val="none"/>
              </w:rPr>
            </w:pPr>
          </w:p>
        </w:tc>
        <w:tc>
          <w:tcPr>
            <w:tcW w:w="1906" w:type="dxa"/>
            <w:tcBorders>
              <w:tl2br w:val="nil"/>
              <w:tr2bl w:val="nil"/>
            </w:tcBorders>
            <w:noWrap w:val="0"/>
            <w:vAlign w:val="center"/>
          </w:tcPr>
          <w:p>
            <w:pPr>
              <w:keepNext w:val="0"/>
              <w:keepLines w:val="0"/>
              <w:widowControl/>
              <w:suppressLineNumbers w:val="0"/>
              <w:jc w:val="left"/>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碎石加工</w:t>
            </w:r>
          </w:p>
        </w:tc>
        <w:tc>
          <w:tcPr>
            <w:tcW w:w="1620" w:type="dxa"/>
            <w:tcBorders>
              <w:tl2br w:val="nil"/>
              <w:tr2bl w:val="nil"/>
            </w:tcBorders>
            <w:noWrap w:val="0"/>
            <w:vAlign w:val="center"/>
          </w:tcPr>
          <w:p>
            <w:pPr>
              <w:rPr>
                <w:rFonts w:hint="default" w:ascii="Times New Roman" w:hAnsi="Times New Roman" w:eastAsia="仿宋_GB2312" w:cs="Times New Roman"/>
                <w:i w:val="0"/>
                <w:iCs w:val="0"/>
                <w:color w:val="000000"/>
                <w:sz w:val="24"/>
                <w:szCs w:val="24"/>
                <w:u w:val="none"/>
              </w:rPr>
            </w:pPr>
          </w:p>
        </w:tc>
        <w:tc>
          <w:tcPr>
            <w:tcW w:w="1785"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20元/台/月</w:t>
            </w:r>
          </w:p>
        </w:tc>
        <w:tc>
          <w:tcPr>
            <w:tcW w:w="5924" w:type="dxa"/>
            <w:tcBorders>
              <w:tl2br w:val="nil"/>
              <w:tr2bl w:val="nil"/>
            </w:tcBorders>
            <w:noWrap w:val="0"/>
            <w:vAlign w:val="center"/>
          </w:tcPr>
          <w:p>
            <w:pPr>
              <w:jc w:val="center"/>
              <w:rPr>
                <w:rFonts w:hint="default" w:ascii="Times New Roman" w:hAnsi="Times New Roman" w:eastAsia="仿宋_GB2312" w:cs="Times New Roman"/>
                <w:i w:val="0"/>
                <w:iCs w:val="0"/>
                <w:color w:val="000000"/>
                <w:sz w:val="24"/>
                <w:szCs w:val="24"/>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00" w:hRule="atLeast"/>
        </w:trPr>
        <w:tc>
          <w:tcPr>
            <w:tcW w:w="734" w:type="dxa"/>
            <w:vMerge w:val="continue"/>
            <w:tcBorders>
              <w:tl2br w:val="nil"/>
              <w:tr2bl w:val="nil"/>
            </w:tcBorders>
            <w:noWrap/>
            <w:vAlign w:val="center"/>
          </w:tcPr>
          <w:p>
            <w:pPr>
              <w:jc w:val="center"/>
              <w:rPr>
                <w:rFonts w:hint="default" w:ascii="Times New Roman" w:hAnsi="Times New Roman" w:eastAsia="仿宋_GB2312" w:cs="Times New Roman"/>
                <w:i w:val="0"/>
                <w:iCs w:val="0"/>
                <w:color w:val="000000"/>
                <w:sz w:val="24"/>
                <w:szCs w:val="24"/>
                <w:u w:val="none"/>
              </w:rPr>
            </w:pPr>
          </w:p>
        </w:tc>
        <w:tc>
          <w:tcPr>
            <w:tcW w:w="2070" w:type="dxa"/>
            <w:vMerge w:val="continue"/>
            <w:tcBorders>
              <w:tl2br w:val="nil"/>
              <w:tr2bl w:val="nil"/>
            </w:tcBorders>
            <w:noWrap w:val="0"/>
            <w:vAlign w:val="center"/>
          </w:tcPr>
          <w:p>
            <w:pPr>
              <w:jc w:val="center"/>
              <w:rPr>
                <w:rFonts w:hint="default" w:ascii="Times New Roman" w:hAnsi="Times New Roman" w:eastAsia="仿宋_GB2312" w:cs="Times New Roman"/>
                <w:i w:val="0"/>
                <w:iCs w:val="0"/>
                <w:color w:val="000000"/>
                <w:sz w:val="24"/>
                <w:szCs w:val="24"/>
                <w:u w:val="none"/>
              </w:rPr>
            </w:pPr>
          </w:p>
        </w:tc>
        <w:tc>
          <w:tcPr>
            <w:tcW w:w="1906" w:type="dxa"/>
            <w:tcBorders>
              <w:tl2br w:val="nil"/>
              <w:tr2bl w:val="nil"/>
            </w:tcBorders>
            <w:noWrap w:val="0"/>
            <w:vAlign w:val="center"/>
          </w:tcPr>
          <w:p>
            <w:pPr>
              <w:keepNext w:val="0"/>
              <w:keepLines w:val="0"/>
              <w:widowControl/>
              <w:suppressLineNumbers w:val="0"/>
              <w:jc w:val="left"/>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锯木加工</w:t>
            </w:r>
          </w:p>
        </w:tc>
        <w:tc>
          <w:tcPr>
            <w:tcW w:w="1620" w:type="dxa"/>
            <w:tcBorders>
              <w:tl2br w:val="nil"/>
              <w:tr2bl w:val="nil"/>
            </w:tcBorders>
            <w:noWrap w:val="0"/>
            <w:vAlign w:val="center"/>
          </w:tcPr>
          <w:p>
            <w:pPr>
              <w:rPr>
                <w:rFonts w:hint="default" w:ascii="Times New Roman" w:hAnsi="Times New Roman" w:eastAsia="仿宋_GB2312" w:cs="Times New Roman"/>
                <w:i w:val="0"/>
                <w:iCs w:val="0"/>
                <w:color w:val="000000"/>
                <w:sz w:val="24"/>
                <w:szCs w:val="24"/>
                <w:u w:val="none"/>
              </w:rPr>
            </w:pPr>
          </w:p>
        </w:tc>
        <w:tc>
          <w:tcPr>
            <w:tcW w:w="1785"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20元/台/月</w:t>
            </w:r>
          </w:p>
        </w:tc>
        <w:tc>
          <w:tcPr>
            <w:tcW w:w="5924" w:type="dxa"/>
            <w:tcBorders>
              <w:tl2br w:val="nil"/>
              <w:tr2bl w:val="nil"/>
            </w:tcBorders>
            <w:noWrap w:val="0"/>
            <w:vAlign w:val="center"/>
          </w:tcPr>
          <w:p>
            <w:pPr>
              <w:jc w:val="center"/>
              <w:rPr>
                <w:rFonts w:hint="default" w:ascii="Times New Roman" w:hAnsi="Times New Roman" w:eastAsia="仿宋_GB2312" w:cs="Times New Roman"/>
                <w:i w:val="0"/>
                <w:iCs w:val="0"/>
                <w:color w:val="000000"/>
                <w:sz w:val="24"/>
                <w:szCs w:val="24"/>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00" w:hRule="atLeast"/>
        </w:trPr>
        <w:tc>
          <w:tcPr>
            <w:tcW w:w="734" w:type="dxa"/>
            <w:vMerge w:val="continue"/>
            <w:tcBorders>
              <w:tl2br w:val="nil"/>
              <w:tr2bl w:val="nil"/>
            </w:tcBorders>
            <w:noWrap/>
            <w:vAlign w:val="center"/>
          </w:tcPr>
          <w:p>
            <w:pPr>
              <w:jc w:val="center"/>
              <w:rPr>
                <w:rFonts w:hint="default" w:ascii="Times New Roman" w:hAnsi="Times New Roman" w:eastAsia="仿宋_GB2312" w:cs="Times New Roman"/>
                <w:i w:val="0"/>
                <w:iCs w:val="0"/>
                <w:color w:val="000000"/>
                <w:sz w:val="24"/>
                <w:szCs w:val="24"/>
                <w:u w:val="none"/>
              </w:rPr>
            </w:pPr>
          </w:p>
        </w:tc>
        <w:tc>
          <w:tcPr>
            <w:tcW w:w="2070" w:type="dxa"/>
            <w:vMerge w:val="continue"/>
            <w:tcBorders>
              <w:tl2br w:val="nil"/>
              <w:tr2bl w:val="nil"/>
            </w:tcBorders>
            <w:noWrap w:val="0"/>
            <w:vAlign w:val="center"/>
          </w:tcPr>
          <w:p>
            <w:pPr>
              <w:jc w:val="center"/>
              <w:rPr>
                <w:rFonts w:hint="default" w:ascii="Times New Roman" w:hAnsi="Times New Roman" w:eastAsia="仿宋_GB2312" w:cs="Times New Roman"/>
                <w:i w:val="0"/>
                <w:iCs w:val="0"/>
                <w:color w:val="000000"/>
                <w:sz w:val="24"/>
                <w:szCs w:val="24"/>
                <w:u w:val="none"/>
              </w:rPr>
            </w:pPr>
          </w:p>
        </w:tc>
        <w:tc>
          <w:tcPr>
            <w:tcW w:w="1906" w:type="dxa"/>
            <w:tcBorders>
              <w:tl2br w:val="nil"/>
              <w:tr2bl w:val="nil"/>
            </w:tcBorders>
            <w:noWrap w:val="0"/>
            <w:vAlign w:val="center"/>
          </w:tcPr>
          <w:p>
            <w:pPr>
              <w:keepNext w:val="0"/>
              <w:keepLines w:val="0"/>
              <w:widowControl/>
              <w:suppressLineNumbers w:val="0"/>
              <w:jc w:val="left"/>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洗车场、汽车美容店</w:t>
            </w:r>
          </w:p>
        </w:tc>
        <w:tc>
          <w:tcPr>
            <w:tcW w:w="1620" w:type="dxa"/>
            <w:tcBorders>
              <w:tl2br w:val="nil"/>
              <w:tr2bl w:val="nil"/>
            </w:tcBorders>
            <w:noWrap w:val="0"/>
            <w:vAlign w:val="center"/>
          </w:tcPr>
          <w:p>
            <w:pPr>
              <w:jc w:val="center"/>
              <w:rPr>
                <w:rFonts w:hint="default" w:ascii="Times New Roman" w:hAnsi="Times New Roman" w:eastAsia="仿宋_GB2312" w:cs="Times New Roman"/>
                <w:i w:val="0"/>
                <w:iCs w:val="0"/>
                <w:color w:val="000000"/>
                <w:sz w:val="24"/>
                <w:szCs w:val="24"/>
                <w:u w:val="none"/>
              </w:rPr>
            </w:pPr>
          </w:p>
        </w:tc>
        <w:tc>
          <w:tcPr>
            <w:tcW w:w="1785"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40元/家/月</w:t>
            </w:r>
          </w:p>
        </w:tc>
        <w:tc>
          <w:tcPr>
            <w:tcW w:w="5924" w:type="dxa"/>
            <w:tcBorders>
              <w:tl2br w:val="nil"/>
              <w:tr2bl w:val="nil"/>
            </w:tcBorders>
            <w:noWrap w:val="0"/>
            <w:vAlign w:val="center"/>
          </w:tcPr>
          <w:p>
            <w:pPr>
              <w:jc w:val="left"/>
              <w:rPr>
                <w:rFonts w:hint="default" w:ascii="Times New Roman" w:hAnsi="Times New Roman" w:eastAsia="仿宋_GB2312" w:cs="Times New Roman"/>
                <w:i w:val="0"/>
                <w:iCs w:val="0"/>
                <w:color w:val="000000"/>
                <w:sz w:val="24"/>
                <w:szCs w:val="24"/>
                <w:u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00" w:hRule="atLeast"/>
        </w:trPr>
        <w:tc>
          <w:tcPr>
            <w:tcW w:w="734" w:type="dxa"/>
            <w:vMerge w:val="continue"/>
            <w:tcBorders>
              <w:tl2br w:val="nil"/>
              <w:tr2bl w:val="nil"/>
            </w:tcBorders>
            <w:noWrap/>
            <w:vAlign w:val="center"/>
          </w:tcPr>
          <w:p>
            <w:pPr>
              <w:jc w:val="center"/>
              <w:rPr>
                <w:rFonts w:hint="default" w:ascii="Times New Roman" w:hAnsi="Times New Roman" w:eastAsia="仿宋_GB2312" w:cs="Times New Roman"/>
                <w:i w:val="0"/>
                <w:iCs w:val="0"/>
                <w:color w:val="000000"/>
                <w:sz w:val="24"/>
                <w:szCs w:val="24"/>
                <w:u w:val="none"/>
              </w:rPr>
            </w:pPr>
          </w:p>
        </w:tc>
        <w:tc>
          <w:tcPr>
            <w:tcW w:w="2070" w:type="dxa"/>
            <w:vMerge w:val="continue"/>
            <w:tcBorders>
              <w:tl2br w:val="nil"/>
              <w:tr2bl w:val="nil"/>
            </w:tcBorders>
            <w:noWrap w:val="0"/>
            <w:vAlign w:val="center"/>
          </w:tcPr>
          <w:p>
            <w:pPr>
              <w:jc w:val="center"/>
              <w:rPr>
                <w:rFonts w:hint="default" w:ascii="Times New Roman" w:hAnsi="Times New Roman" w:eastAsia="仿宋_GB2312" w:cs="Times New Roman"/>
                <w:i w:val="0"/>
                <w:iCs w:val="0"/>
                <w:color w:val="000000"/>
                <w:sz w:val="24"/>
                <w:szCs w:val="24"/>
                <w:u w:val="none"/>
              </w:rPr>
            </w:pPr>
          </w:p>
        </w:tc>
        <w:tc>
          <w:tcPr>
            <w:tcW w:w="1906" w:type="dxa"/>
            <w:tcBorders>
              <w:tl2br w:val="nil"/>
              <w:tr2bl w:val="nil"/>
            </w:tcBorders>
            <w:noWrap w:val="0"/>
            <w:vAlign w:val="center"/>
          </w:tcPr>
          <w:p>
            <w:pPr>
              <w:keepNext w:val="0"/>
              <w:keepLines w:val="0"/>
              <w:widowControl/>
              <w:suppressLineNumbers w:val="0"/>
              <w:jc w:val="left"/>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废品收购站</w:t>
            </w:r>
          </w:p>
        </w:tc>
        <w:tc>
          <w:tcPr>
            <w:tcW w:w="1620"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业主</w:t>
            </w:r>
          </w:p>
        </w:tc>
        <w:tc>
          <w:tcPr>
            <w:tcW w:w="1785" w:type="dxa"/>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40元/月</w:t>
            </w:r>
          </w:p>
        </w:tc>
        <w:tc>
          <w:tcPr>
            <w:tcW w:w="5924" w:type="dxa"/>
            <w:tcBorders>
              <w:tl2br w:val="nil"/>
              <w:tr2bl w:val="nil"/>
            </w:tcBorders>
            <w:noWrap w:val="0"/>
            <w:vAlign w:val="center"/>
          </w:tcPr>
          <w:p>
            <w:pPr>
              <w:keepNext w:val="0"/>
              <w:keepLines w:val="0"/>
              <w:widowControl/>
              <w:suppressLineNumbers w:val="0"/>
              <w:jc w:val="left"/>
              <w:textAlignment w:val="center"/>
              <w:rPr>
                <w:rFonts w:hint="default" w:ascii="Times New Roman" w:hAnsi="Times New Roman" w:eastAsia="仿宋_GB2312" w:cs="Times New Roman"/>
                <w:i w:val="0"/>
                <w:iCs w:val="0"/>
                <w:color w:val="000000"/>
                <w:sz w:val="24"/>
                <w:szCs w:val="24"/>
                <w:u w:val="none"/>
              </w:rPr>
            </w:pPr>
            <w:r>
              <w:rPr>
                <w:rFonts w:hint="default" w:ascii="Times New Roman" w:hAnsi="Times New Roman" w:eastAsia="仿宋_GB2312" w:cs="Times New Roman"/>
                <w:i w:val="0"/>
                <w:iCs w:val="0"/>
                <w:color w:val="000000"/>
                <w:kern w:val="0"/>
                <w:sz w:val="24"/>
                <w:szCs w:val="24"/>
                <w:u w:val="none"/>
                <w:lang w:val="en-US" w:eastAsia="zh-CN" w:bidi="ar"/>
              </w:rPr>
              <w:t>40㎡以上部门按0.5元/㎡/月加收</w:t>
            </w:r>
          </w:p>
        </w:tc>
      </w:tr>
    </w:tbl>
    <w:p>
      <w:pPr>
        <w:ind w:firstLine="640" w:firstLineChars="200"/>
        <w:jc w:val="left"/>
        <w:rPr>
          <w:rFonts w:hint="default" w:ascii="Times New Roman" w:hAnsi="Times New Roman" w:eastAsia="仿宋" w:cs="Times New Roman"/>
          <w:b w:val="0"/>
          <w:bCs w:val="0"/>
          <w:sz w:val="32"/>
          <w:szCs w:val="32"/>
          <w:lang w:val="en-US" w:eastAsia="zh-CN"/>
        </w:rPr>
      </w:pPr>
    </w:p>
    <w:p/>
    <w:sectPr>
      <w:pgSz w:w="16838" w:h="11906" w:orient="landscape"/>
      <w:pgMar w:top="1803" w:right="1440" w:bottom="1803" w:left="1440" w:header="851" w:footer="992" w:gutter="0"/>
      <w:pgBorders>
        <w:top w:val="none" w:sz="0" w:space="0"/>
        <w:left w:val="none" w:sz="0" w:space="0"/>
        <w:bottom w:val="none" w:sz="0" w:space="0"/>
        <w:right w:val="none" w:sz="0" w:space="0"/>
      </w:pgBorders>
      <w:cols w:space="720" w:num="1"/>
      <w:rtlGutter w:val="0"/>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auto"/>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2"/>
                          </w:pPr>
                          <w:r>
                            <w:fldChar w:fldCharType="begin"/>
                          </w:r>
                          <w:r>
                            <w:instrText xml:space="preserve"> PAGE  \* MERGEFORMAT </w:instrText>
                          </w:r>
                          <w:r>
                            <w:fldChar w:fldCharType="separate"/>
                          </w:r>
                          <w:r>
                            <w:t>1</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KL+z8gBAACZ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rFTaDEcYsDv/z8cfn15/L7O1lm&#10;efoANWbdB8xLwzs/5NTJD+jMrAcVbf4iH4JxFPd8FVcOiYj8aL1arysMCYzNF8RhD89DhPReekuy&#10;0dCI0yui8tNHSGPqnJKrOX+njUE/r437x4GY2cNy72OP2UrDfpga3/v2jHx6HHxDHe45JeaDQ13z&#10;jsxGnI39bBxD1IeuLFGuB+H2mLCJ0luuMMJOhXFihd20XXklHt9L1sMftf0L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OSi/s/IAQAAmQMAAA4AAAAAAAAAAQAgAAAAHgEAAGRycy9lMm9Eb2Mu&#10;eG1sUEsFBgAAAAAGAAYAWQEAAFgFAAAAAA==&#10;">
              <v:path/>
              <v:fill on="f" focussize="0,0"/>
              <v:stroke on="f"/>
              <v:imagedata o:title=""/>
              <o:lock v:ext="edit" aspectratio="f"/>
              <v:textbox inset="0mm,0mm,0mm,0mm" style="mso-fit-shape-to-text:t;">
                <w:txbxContent>
                  <w:p>
                    <w:pPr>
                      <w:pStyle w:val="2"/>
                    </w:pPr>
                    <w:r>
                      <w:fldChar w:fldCharType="begin"/>
                    </w:r>
                    <w:r>
                      <w:instrText xml:space="preserve"> PAGE  \* MERGEFORMAT </w:instrText>
                    </w:r>
                    <w:r>
                      <w:fldChar w:fldCharType="separate"/>
                    </w:r>
                    <w:r>
                      <w:t>1</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024D98D"/>
    <w:multiLevelType w:val="singleLevel"/>
    <w:tmpl w:val="5024D98D"/>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QyYWE1NDE0MzNmNTJhZmE4MmMwODY5MDg4NjNmZGEifQ=="/>
  </w:docVars>
  <w:rsids>
    <w:rsidRoot w:val="1BF93FFE"/>
    <w:rsid w:val="1BF93FF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6">
    <w:name w:val="Default Paragraph Font"/>
    <w:semiHidden/>
    <w:uiPriority w:val="0"/>
  </w:style>
  <w:style w:type="table" w:default="1" w:styleId="5">
    <w:name w:val="Normal Table"/>
    <w:semiHidden/>
    <w:uiPriority w:val="0"/>
    <w:tblPr>
      <w:tblCellMar>
        <w:top w:w="0" w:type="dxa"/>
        <w:left w:w="108" w:type="dxa"/>
        <w:bottom w:w="0" w:type="dxa"/>
        <w:right w:w="108" w:type="dxa"/>
      </w:tblCellMar>
    </w:tblPr>
  </w:style>
  <w:style w:type="paragraph" w:styleId="2">
    <w:name w:val="footer"/>
    <w:basedOn w:val="1"/>
    <w:uiPriority w:val="0"/>
    <w:pPr>
      <w:tabs>
        <w:tab w:val="center" w:pos="4153"/>
        <w:tab w:val="right" w:pos="8306"/>
      </w:tabs>
      <w:snapToGrid w:val="0"/>
      <w:jc w:val="left"/>
    </w:pPr>
    <w:rPr>
      <w:sz w:val="18"/>
    </w:rPr>
  </w:style>
  <w:style w:type="paragraph" w:styleId="3">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4">
    <w:name w:val="Normal (Web)"/>
    <w:basedOn w:val="1"/>
    <w:uiPriority w:val="0"/>
    <w:rPr>
      <w:sz w:val="24"/>
    </w:rPr>
  </w:style>
  <w:style w:type="character" w:customStyle="1" w:styleId="7">
    <w:name w:val="font31"/>
    <w:basedOn w:val="6"/>
    <w:uiPriority w:val="0"/>
    <w:rPr>
      <w:rFonts w:hint="eastAsia" w:ascii="仿宋" w:hAnsi="仿宋" w:eastAsia="仿宋" w:cs="仿宋"/>
      <w:color w:val="000000"/>
      <w:sz w:val="28"/>
      <w:szCs w:val="28"/>
      <w:u w:val="none"/>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2024-08-19T08:32:00Z</dcterms:created>
  <dc:creator>旧时光·不见旧人</dc:creator>
  <cp:lastModifiedBy>旧时光·不见旧人</cp:lastModifiedBy>
  <dcterms:modified xsi:type="dcterms:W3CDTF">2024-08-19T08:33:05Z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A24727FA3FE748BBB74408311C042DB9_11</vt:lpwstr>
  </property>
</Properties>
</file>