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D20C3B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4A074018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3568EA02">
      <w:pPr>
        <w:pStyle w:val="3"/>
        <w:keepNext w:val="0"/>
        <w:keepLines w:val="0"/>
        <w:widowControl/>
        <w:suppressLineNumbers w:val="0"/>
        <w:ind w:left="0" w:firstLine="420"/>
        <w:jc w:val="center"/>
        <w:rPr>
          <w:rFonts w:hint="eastAsia" w:ascii="华文中宋" w:hAnsi="华文中宋" w:eastAsia="华文中宋" w:cs="华文中宋"/>
          <w:sz w:val="32"/>
          <w:szCs w:val="32"/>
        </w:rPr>
      </w:pPr>
      <w:r>
        <w:rPr>
          <w:rFonts w:hint="eastAsia" w:ascii="华文中宋" w:hAnsi="华文中宋" w:eastAsia="华文中宋" w:cs="华文中宋"/>
          <w:sz w:val="32"/>
          <w:szCs w:val="32"/>
        </w:rPr>
        <w:t>关于进一步明确全县公务用车管理使用有关事项的通知</w:t>
      </w:r>
    </w:p>
    <w:p w14:paraId="7B9236B7">
      <w:pPr>
        <w:pStyle w:val="3"/>
        <w:keepNext w:val="0"/>
        <w:keepLines w:val="0"/>
        <w:widowControl/>
        <w:suppressLineNumbers w:val="0"/>
        <w:ind w:left="0" w:firstLine="420"/>
        <w:jc w:val="center"/>
        <w:rPr>
          <w:rFonts w:hint="eastAsia" w:ascii="华文中宋" w:hAnsi="华文中宋" w:eastAsia="华文中宋" w:cs="华文中宋"/>
          <w:sz w:val="32"/>
          <w:szCs w:val="32"/>
        </w:rPr>
      </w:pPr>
      <w:r>
        <w:rPr>
          <w:rFonts w:hint="eastAsia" w:ascii="华文中宋" w:hAnsi="华文中宋" w:eastAsia="华文中宋" w:cs="华文中宋"/>
          <w:sz w:val="32"/>
          <w:szCs w:val="32"/>
          <w:lang w:eastAsia="zh-CN"/>
        </w:rPr>
        <w:t>（</w:t>
      </w:r>
      <w:r>
        <w:rPr>
          <w:rFonts w:hint="eastAsia" w:ascii="华文中宋" w:hAnsi="华文中宋" w:eastAsia="华文中宋" w:cs="华文中宋"/>
          <w:sz w:val="32"/>
          <w:szCs w:val="32"/>
        </w:rPr>
        <w:t>征求意见稿）</w:t>
      </w:r>
    </w:p>
    <w:p w14:paraId="6E57966F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各乡镇(场),县直各单位：</w:t>
      </w:r>
    </w:p>
    <w:p w14:paraId="5039EF71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为进一步规范全县公务用车管理，解决公车使用中的有关具体问题，根据《党政机关公务用车管理办法》(中办发〔2017〕71号)、《湖南省党政机关公务用车管理实施办法》(湘办发〔2019〕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13号)和《关于进一步明确全省公务用车管理使用有关事项的通知》(湘管发〔2023〕41号)等文件规定，结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合我县实际，现就有关事项明确如下：</w:t>
      </w:r>
    </w:p>
    <w:p w14:paraId="4F074F90">
      <w:pPr>
        <w:ind w:firstLine="643" w:firstLineChars="200"/>
        <w:jc w:val="both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一、关于公务用车配置价格</w:t>
      </w:r>
    </w:p>
    <w:p w14:paraId="209157E4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公务用车配置价格指车辆购置价格(购置发票价格),不包含购置税和其他相关费用。享受财政补助的新能源汽车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，以补助后的价格为计价标准。</w:t>
      </w:r>
    </w:p>
    <w:p w14:paraId="248ADC90">
      <w:pPr>
        <w:ind w:firstLine="643" w:firstLineChars="200"/>
        <w:jc w:val="both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二、关于公务用车保障范围</w:t>
      </w:r>
    </w:p>
    <w:p w14:paraId="6AFD0C54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公车改革时明确了交通补贴保障区域范围。长途汽车站、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客运码头、火车站(高铁站)、飞机场位于城市交通补贴区域范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围内，单位现有车辆具备相应保障能力、且符合下列条件之一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的，可以使用公务用车保障：紧急公务出行；外地来访的公务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接待；到外地开展专项检(督)查、考核(察)、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调研；到外地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执行侦查、办案等工作任务；运送机要文件、涉密载体；执行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特殊工作任务；其他确需接送的公务出行。</w:t>
      </w:r>
    </w:p>
    <w:p w14:paraId="6D04684E">
      <w:pPr>
        <w:ind w:firstLine="643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三、关于机构改革中涉改单位车辆编制核定</w:t>
      </w:r>
    </w:p>
    <w:p w14:paraId="054BF9E3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在机构改革中，党政机关和事业单位核定、增加车辆编制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按照公务用车改革实施方案(意见)车辆编制核定有关规定执行。其中，新设立县直单位应制定车辆编制配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备方案，一般公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务用车编制配备方案，经县公务用车主管部门审核后报市公务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用车主管部门审批，执法执勤用车编制配备方案，经县公务用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车主管部门和县财政局审核后报市财政局审批；合并单位应制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定车辆编制调整方案报县公务用车主管部门审批，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合并单位核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定车辆编制数不得超过原有单位车辆编制数之和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；调整重大职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能、人员编制的单位，相应划转、调整车辆编制；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撤销的单位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应撤销公务用车编制并上交车辆。</w:t>
      </w:r>
    </w:p>
    <w:p w14:paraId="0F44A5BC">
      <w:pPr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四、关于新增特种专业技术用车编制</w:t>
      </w:r>
    </w:p>
    <w:p w14:paraId="0F6839B9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党政机关、事业单位因职能职责调整、人员编制增加等原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因确需增加特种专业技术用车编制的，由单位提出申请报县财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政部门审批。县财政部门结合单位的职能职责、人员及工作需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要等情况，合理核定编制，严格审批程序。各单位不得以增加</w:t>
      </w:r>
    </w:p>
    <w:p w14:paraId="579D9CEC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特种专业技术用车编制为由购置其他类型公务用车。</w:t>
      </w:r>
    </w:p>
    <w:p w14:paraId="0681D593">
      <w:pPr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五、关于公务用车车型配置</w:t>
      </w:r>
    </w:p>
    <w:p w14:paraId="727D42D8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各部门可根据工作需要优化公务用车车型配置结构，适当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提高商务车配备比例。购置18万元以内纯电动越野车(含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SUV)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的，由县公务用车主管部门审批。</w:t>
      </w:r>
    </w:p>
    <w:p w14:paraId="68DE48EE">
      <w:pPr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六、关于公务用车装饰标准</w:t>
      </w:r>
    </w:p>
    <w:p w14:paraId="24DA3C0B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公务用车不得加装豪华座套地毯、进口音响、车载冰箱、电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视机等设备设施，非功能、安全以及特殊原因不得改装车辆，车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辆装饰、改装费用最高不得超过购车价格(不含购置税费)的5%。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特种专业技术用车确需改装的，按照节约、实用原则实施。</w:t>
      </w:r>
    </w:p>
    <w:p w14:paraId="76CAAA42">
      <w:pPr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七、关于事业单位公务出行交通费用报销</w:t>
      </w:r>
    </w:p>
    <w:p w14:paraId="627BFEE7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(一)报销方式。根据公务用车改革方案，事业单位人员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公务出行可采取凭票据实报销或“按次按距离包干”报销交通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费用两种方式。事业单位(含新设事业单位)人员公务出行，持有公共交通票据的，可据实报销；不能或不便提供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交通票据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的，可实行“按次按距离包干”报销交通费用。严格按照据实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原则报销公务出行开支，严禁以包干报销为名变相发放“车补”。</w:t>
      </w:r>
    </w:p>
    <w:p w14:paraId="6C52DBBE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(二)“按次按距离包干”的适用范围。“按次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按距离包干”报销公务交通费用，是指工作人员一次公务出行，按照实际出行距离，采取不高于当地出租车计费标准包干报销交通费用。</w:t>
      </w:r>
    </w:p>
    <w:p w14:paraId="5354227A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适用以下范围：事业单位人员不能或不便提供报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销票据的公务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出行；县、乡镇(场)事业单位人员到公共交通保障范围外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(如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偏远乡镇、农村)的中短途公务出行；其它公务用车、公共交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通工具不能有效保障的公务出行。(三)“按次按距离包干”的适用要求。一是制定“按次按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距离包干”报销公务出行交通费用实施细则(模版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可在湖南省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机关事务管理局官网办事指南下载),并报上级主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管部门备案；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二是建立健全《公务出行审批单》和审批台账机制；三是可按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月集中报销交通费用，填报《包干报销交通费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用报账审批单》;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四是建立公示制度，接受监督。</w:t>
      </w:r>
    </w:p>
    <w:p w14:paraId="762BD23D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八、关于异地交流任职干部交通保障的补充规定</w:t>
      </w:r>
    </w:p>
    <w:p w14:paraId="0B067A44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异地交流任职干部指跨地域交流(含省外交流到湖南工作)到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家庭常住地以外市(州)、县(市)任职的干部。省内异地交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流任职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干部，法定节假日、双休日自行驾车往返工作地与家庭常住地的，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参照两地公共交通(客运汽车、普通火车或高铁)往返费用标准，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按照实际往返次数包干报销交通费用，每月不超过四次(往返计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一次)。上述人员应履行出行登记手续，接受有关部门监督检查。</w:t>
      </w:r>
    </w:p>
    <w:p w14:paraId="5B55AFF4">
      <w:pPr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九、关于公务租车费用报销</w:t>
      </w:r>
    </w:p>
    <w:p w14:paraId="5017C5D0">
      <w:pPr>
        <w:ind w:firstLine="640" w:firstLineChars="200"/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公务租车按照《城步苗族自治县公务租车管理办法(试行)》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(城办字〔2022〕44号)执行。县内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下乡公务租车实行纸质审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批(见附表)。</w:t>
      </w:r>
    </w:p>
    <w:p w14:paraId="4DFC8937">
      <w:pPr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十、此通知自2024年4月1日起执行。</w:t>
      </w:r>
    </w:p>
    <w:p w14:paraId="12B358D4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7CA1F02B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4FA19B3A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3F74B389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225DA6E1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5B76D59E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城步苗族自治县财政局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     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城步苗族自治县机关事务服务中心</w:t>
      </w:r>
    </w:p>
    <w:p w14:paraId="54BBB309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5B017827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 w14:paraId="34717D49">
      <w:pPr>
        <w:jc w:val="right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2024年5月8日</w:t>
      </w:r>
    </w:p>
    <w:p w14:paraId="28E9EF4B">
      <w:pPr>
        <w:jc w:val="both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bookmarkStart w:id="0" w:name="_GoBack"/>
      <w:bookmarkEnd w:id="0"/>
    </w:p>
    <w:sectPr>
      <w:footerReference r:id="rId5" w:type="default"/>
      <w:pgSz w:w="11900" w:h="16820"/>
      <w:pgMar w:top="1429" w:right="490" w:bottom="40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DFC57972-BC1B-412A-A893-B7BF241D58FB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7847F032-BB81-4233-83D2-FC3AF173181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771BFE51-96D4-414E-B40C-CC6E19CABA95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4" w:fontKey="{BE4EDB93-FFCC-45ED-988E-CB7B2F7C3687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公文黑体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大黑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70E79C"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TrueTypeFonts/>
  <w:saveSubsetFonts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ZTJlOTJiOTZmMjIyNmVkNzVjYTgxMmM5YmQzMDg3MGYifQ=="/>
  </w:docVars>
  <w:rsids>
    <w:rsidRoot w:val="00000000"/>
    <w:rsid w:val="4028793A"/>
    <w:rsid w:val="459713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6"/>
      <w:szCs w:val="36"/>
      <w:lang w:val="en-US" w:eastAsia="en-US" w:bidi="ar-SA"/>
    </w:r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FollowedHyperlink"/>
    <w:basedOn w:val="5"/>
    <w:uiPriority w:val="0"/>
    <w:rPr>
      <w:color w:val="1E1E1E"/>
      <w:u w:val="none"/>
    </w:rPr>
  </w:style>
  <w:style w:type="character" w:styleId="7">
    <w:name w:val="Hyperlink"/>
    <w:basedOn w:val="5"/>
    <w:uiPriority w:val="0"/>
    <w:rPr>
      <w:color w:val="1E1E1E"/>
      <w:u w:val="none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宋体" w:hAnsi="宋体" w:eastAsia="宋体" w:cs="宋体"/>
      <w:sz w:val="30"/>
      <w:szCs w:val="3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2034</Words>
  <Characters>2067</Characters>
  <TotalTime>10</TotalTime>
  <ScaleCrop>false</ScaleCrop>
  <LinksUpToDate>false</LinksUpToDate>
  <CharactersWithSpaces>2160</CharactersWithSpaces>
  <Application>WPS Office_12.1.0.17147_F1E327BC-269C-435d-A152-05C5408002CA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2024-08-20T09:47:00Z</dcterms:created>
  <dc:creator>Kingsoft-PDF</dc:creator>
  <cp:lastModifiedBy>Sun</cp:lastModifiedBy>
  <dcterms:modified xsi:type="dcterms:W3CDTF">2024-08-20T02:13:02Z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2024-08-20T09:47:34Z</vt:filetime>
  </property>
  <property fmtid="{D5CDD505-2E9C-101B-9397-08002B2CF9AE}" pid="4" name="UsrData">
    <vt:lpwstr>66c3f5b3dcdb66001f0f0827wl</vt:lpwstr>
  </property>
  <property fmtid="{D5CDD505-2E9C-101B-9397-08002B2CF9AE}" pid="5" name="KSOProductBuildVer">
    <vt:lpwstr>2052-12.1.0.17147</vt:lpwstr>
  </property>
  <property fmtid="{D5CDD505-2E9C-101B-9397-08002B2CF9AE}" pid="6" name="ICV">
    <vt:lpwstr>BF69F5EDA0CE49CEAB32EB2B03D26BCD_13</vt:lpwstr>
  </property>
</Properties>
</file>