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20" w:lineRule="exact"/>
        <w:ind w:firstLine="880"/>
        <w:jc w:val="center"/>
        <w:rPr>
          <w:rFonts w:eastAsia="方正小标宋_GBK" w:cs="Times New Roman"/>
          <w:sz w:val="44"/>
          <w:szCs w:val="44"/>
        </w:rPr>
      </w:pPr>
    </w:p>
    <w:p>
      <w:pPr>
        <w:spacing w:line="360" w:lineRule="auto"/>
        <w:ind w:firstLine="560"/>
        <w:rPr>
          <w:rFonts w:cs="Times New Roman"/>
          <w:sz w:val="28"/>
        </w:rPr>
      </w:pPr>
    </w:p>
    <w:p>
      <w:pPr>
        <w:adjustRightInd w:val="0"/>
        <w:snapToGrid w:val="0"/>
        <w:spacing w:line="360" w:lineRule="auto"/>
        <w:ind w:firstLine="0" w:firstLineChars="0"/>
        <w:jc w:val="center"/>
        <w:rPr>
          <w:rFonts w:ascii="黑体" w:hAnsi="黑体" w:eastAsia="黑体" w:cs="Times New Roman"/>
          <w:b/>
          <w:color w:val="000000"/>
          <w:sz w:val="44"/>
          <w:szCs w:val="44"/>
        </w:rPr>
      </w:pPr>
      <w:r>
        <w:rPr>
          <w:rFonts w:ascii="黑体" w:hAnsi="黑体" w:eastAsia="黑体" w:cs="Times New Roman"/>
          <w:b/>
          <w:color w:val="000000"/>
          <w:sz w:val="44"/>
          <w:szCs w:val="44"/>
        </w:rPr>
        <w:t>湖南省</w:t>
      </w:r>
      <w:r>
        <w:rPr>
          <w:rFonts w:hint="eastAsia" w:ascii="黑体" w:hAnsi="黑体" w:eastAsia="黑体" w:cs="Times New Roman"/>
          <w:b/>
          <w:color w:val="000000"/>
          <w:sz w:val="44"/>
          <w:szCs w:val="44"/>
        </w:rPr>
        <w:t>城步苗族自治</w:t>
      </w:r>
      <w:r>
        <w:rPr>
          <w:rFonts w:ascii="黑体" w:hAnsi="黑体" w:eastAsia="黑体" w:cs="Times New Roman"/>
          <w:b/>
          <w:color w:val="000000"/>
          <w:sz w:val="44"/>
          <w:szCs w:val="44"/>
        </w:rPr>
        <w:t>县</w:t>
      </w:r>
    </w:p>
    <w:p>
      <w:pPr>
        <w:adjustRightInd w:val="0"/>
        <w:snapToGrid w:val="0"/>
        <w:spacing w:line="360" w:lineRule="auto"/>
        <w:ind w:firstLine="0" w:firstLineChars="0"/>
        <w:jc w:val="center"/>
        <w:rPr>
          <w:rFonts w:ascii="黑体" w:hAnsi="黑体" w:eastAsia="黑体" w:cs="Times New Roman"/>
          <w:b/>
          <w:color w:val="000000"/>
          <w:sz w:val="44"/>
          <w:szCs w:val="44"/>
        </w:rPr>
      </w:pPr>
      <w:r>
        <w:rPr>
          <w:rFonts w:hint="eastAsia" w:ascii="黑体" w:hAnsi="黑体" w:eastAsia="黑体" w:cs="Times New Roman"/>
          <w:b/>
          <w:color w:val="000000"/>
          <w:sz w:val="44"/>
          <w:szCs w:val="44"/>
        </w:rPr>
        <w:t>大中型及重点小型水利工程</w:t>
      </w:r>
    </w:p>
    <w:p>
      <w:pPr>
        <w:adjustRightInd w:val="0"/>
        <w:snapToGrid w:val="0"/>
        <w:spacing w:line="360" w:lineRule="auto"/>
        <w:ind w:firstLine="0" w:firstLineChars="0"/>
        <w:jc w:val="center"/>
        <w:rPr>
          <w:rFonts w:ascii="黑体" w:hAnsi="黑体" w:eastAsia="黑体" w:cs="Times New Roman"/>
          <w:b/>
          <w:color w:val="000000"/>
          <w:sz w:val="44"/>
          <w:szCs w:val="44"/>
        </w:rPr>
      </w:pPr>
      <w:r>
        <w:rPr>
          <w:rFonts w:hint="eastAsia" w:ascii="黑体" w:hAnsi="黑体" w:eastAsia="黑体" w:cs="Times New Roman"/>
          <w:b/>
          <w:color w:val="000000"/>
          <w:sz w:val="44"/>
          <w:szCs w:val="44"/>
        </w:rPr>
        <w:t>管理与保护范围划界方案</w:t>
      </w:r>
    </w:p>
    <w:p>
      <w:pPr>
        <w:spacing w:line="240" w:lineRule="auto"/>
        <w:ind w:firstLine="0" w:firstLineChars="0"/>
        <w:jc w:val="center"/>
        <w:rPr>
          <w:rFonts w:eastAsia="宋体" w:cs="Times New Roman"/>
          <w:sz w:val="36"/>
          <w:szCs w:val="36"/>
        </w:rPr>
      </w:pPr>
    </w:p>
    <w:p>
      <w:pPr>
        <w:spacing w:line="240" w:lineRule="auto"/>
        <w:ind w:firstLine="0" w:firstLineChars="0"/>
        <w:jc w:val="center"/>
        <w:rPr>
          <w:rFonts w:eastAsia="宋体" w:cs="Times New Roman"/>
          <w:sz w:val="36"/>
          <w:szCs w:val="36"/>
        </w:rPr>
      </w:pPr>
    </w:p>
    <w:p>
      <w:pPr>
        <w:spacing w:line="240" w:lineRule="auto"/>
        <w:ind w:firstLine="0" w:firstLineChars="0"/>
        <w:jc w:val="center"/>
        <w:rPr>
          <w:rFonts w:eastAsia="宋体" w:cs="Times New Roman"/>
          <w:sz w:val="36"/>
          <w:szCs w:val="36"/>
        </w:rPr>
      </w:pPr>
    </w:p>
    <w:p>
      <w:pPr>
        <w:spacing w:line="240" w:lineRule="auto"/>
        <w:ind w:firstLine="0" w:firstLineChars="0"/>
        <w:jc w:val="center"/>
        <w:rPr>
          <w:rFonts w:eastAsia="宋体" w:cs="Times New Roman"/>
          <w:sz w:val="36"/>
          <w:szCs w:val="36"/>
        </w:rPr>
      </w:pPr>
    </w:p>
    <w:p>
      <w:pPr>
        <w:spacing w:line="240" w:lineRule="auto"/>
        <w:ind w:firstLine="0" w:firstLineChars="0"/>
        <w:jc w:val="center"/>
        <w:rPr>
          <w:rFonts w:eastAsia="宋体" w:cs="Times New Roman"/>
          <w:sz w:val="36"/>
          <w:szCs w:val="36"/>
        </w:rPr>
      </w:pPr>
    </w:p>
    <w:p>
      <w:pPr>
        <w:spacing w:line="240" w:lineRule="auto"/>
        <w:ind w:firstLine="0" w:firstLineChars="0"/>
        <w:jc w:val="center"/>
        <w:rPr>
          <w:rFonts w:eastAsia="宋体" w:cs="Times New Roman"/>
          <w:sz w:val="36"/>
          <w:szCs w:val="36"/>
        </w:rPr>
      </w:pPr>
    </w:p>
    <w:p>
      <w:pPr>
        <w:adjustRightInd w:val="0"/>
        <w:snapToGrid w:val="0"/>
        <w:spacing w:line="360" w:lineRule="auto"/>
        <w:ind w:left="640" w:leftChars="200" w:firstLine="1600" w:firstLineChars="500"/>
        <w:rPr>
          <w:rFonts w:ascii="宋体" w:hAnsi="宋体" w:eastAsia="宋体" w:cs="Times New Roman"/>
          <w:color w:val="000000"/>
          <w:szCs w:val="32"/>
        </w:rPr>
      </w:pPr>
      <w:r>
        <w:rPr>
          <w:rFonts w:ascii="宋体" w:hAnsi="宋体" w:eastAsia="宋体" w:cs="Times New Roman"/>
          <w:color w:val="000000"/>
          <w:szCs w:val="32"/>
        </w:rPr>
        <w:t>批准单位：</w:t>
      </w:r>
      <w:r>
        <w:rPr>
          <w:rFonts w:hint="eastAsia" w:ascii="宋体" w:hAnsi="宋体" w:eastAsia="宋体" w:cs="Times New Roman"/>
          <w:color w:val="000000"/>
          <w:szCs w:val="32"/>
        </w:rPr>
        <w:t>城步苗族自治</w:t>
      </w:r>
      <w:r>
        <w:rPr>
          <w:rFonts w:ascii="宋体" w:hAnsi="宋体" w:eastAsia="宋体" w:cs="Times New Roman"/>
          <w:color w:val="000000"/>
          <w:szCs w:val="32"/>
        </w:rPr>
        <w:t>县人民政府</w:t>
      </w:r>
    </w:p>
    <w:p>
      <w:pPr>
        <w:adjustRightInd w:val="0"/>
        <w:snapToGrid w:val="0"/>
        <w:spacing w:line="360" w:lineRule="auto"/>
        <w:ind w:left="640" w:leftChars="200" w:firstLine="1600" w:firstLineChars="500"/>
        <w:rPr>
          <w:rFonts w:ascii="宋体" w:hAnsi="宋体" w:eastAsia="宋体" w:cs="Times New Roman"/>
          <w:color w:val="000000"/>
          <w:szCs w:val="32"/>
        </w:rPr>
      </w:pPr>
      <w:r>
        <w:rPr>
          <w:rFonts w:ascii="宋体" w:hAnsi="宋体" w:eastAsia="宋体" w:cs="Times New Roman"/>
          <w:color w:val="000000"/>
          <w:szCs w:val="32"/>
        </w:rPr>
        <w:t>审核单位：</w:t>
      </w:r>
      <w:r>
        <w:rPr>
          <w:rFonts w:hint="eastAsia" w:ascii="宋体" w:hAnsi="宋体" w:eastAsia="宋体" w:cs="Times New Roman"/>
          <w:color w:val="000000"/>
          <w:szCs w:val="32"/>
        </w:rPr>
        <w:t>邵阳市水利局</w:t>
      </w:r>
    </w:p>
    <w:p>
      <w:pPr>
        <w:adjustRightInd w:val="0"/>
        <w:snapToGrid w:val="0"/>
        <w:spacing w:line="360" w:lineRule="auto"/>
        <w:ind w:left="640" w:leftChars="200" w:firstLine="3200" w:firstLineChars="1000"/>
        <w:rPr>
          <w:rFonts w:ascii="宋体" w:hAnsi="宋体" w:eastAsia="宋体" w:cs="Times New Roman"/>
          <w:color w:val="000000"/>
          <w:szCs w:val="32"/>
        </w:rPr>
      </w:pPr>
      <w:r>
        <w:rPr>
          <w:rFonts w:hint="eastAsia" w:ascii="宋体" w:hAnsi="宋体" w:eastAsia="宋体" w:cs="Times New Roman"/>
          <w:color w:val="000000"/>
          <w:szCs w:val="32"/>
        </w:rPr>
        <w:t>邵阳市自然资源和规划局</w:t>
      </w:r>
    </w:p>
    <w:p>
      <w:pPr>
        <w:adjustRightInd w:val="0"/>
        <w:snapToGrid w:val="0"/>
        <w:spacing w:line="360" w:lineRule="auto"/>
        <w:ind w:left="640" w:leftChars="200" w:firstLine="1600" w:firstLineChars="500"/>
        <w:rPr>
          <w:rFonts w:ascii="宋体" w:hAnsi="宋体" w:eastAsia="宋体" w:cs="Times New Roman"/>
          <w:color w:val="000000"/>
          <w:szCs w:val="32"/>
        </w:rPr>
      </w:pPr>
      <w:r>
        <w:rPr>
          <w:rFonts w:ascii="宋体" w:hAnsi="宋体" w:eastAsia="宋体" w:cs="Times New Roman"/>
          <w:color w:val="000000"/>
          <w:szCs w:val="32"/>
        </w:rPr>
        <w:t>审核单位：</w:t>
      </w:r>
      <w:r>
        <w:rPr>
          <w:rFonts w:hint="eastAsia" w:ascii="宋体" w:hAnsi="宋体" w:eastAsia="宋体" w:cs="Times New Roman"/>
          <w:color w:val="000000"/>
          <w:szCs w:val="32"/>
        </w:rPr>
        <w:t>城步苗族自治县农业农村</w:t>
      </w:r>
      <w:r>
        <w:rPr>
          <w:rFonts w:ascii="宋体" w:hAnsi="宋体" w:eastAsia="宋体" w:cs="Times New Roman"/>
          <w:color w:val="000000"/>
          <w:szCs w:val="32"/>
        </w:rPr>
        <w:t>水利局</w:t>
      </w:r>
    </w:p>
    <w:p>
      <w:pPr>
        <w:adjustRightInd w:val="0"/>
        <w:snapToGrid w:val="0"/>
        <w:spacing w:line="360" w:lineRule="auto"/>
        <w:ind w:left="640" w:leftChars="200" w:firstLine="3200" w:firstLineChars="1000"/>
        <w:rPr>
          <w:rFonts w:ascii="宋体" w:hAnsi="宋体" w:eastAsia="宋体" w:cs="Times New Roman"/>
          <w:color w:val="000000"/>
          <w:szCs w:val="32"/>
        </w:rPr>
      </w:pPr>
      <w:r>
        <w:rPr>
          <w:rFonts w:hint="eastAsia" w:ascii="宋体" w:hAnsi="宋体" w:eastAsia="宋体" w:cs="Times New Roman"/>
          <w:color w:val="000000"/>
          <w:szCs w:val="32"/>
        </w:rPr>
        <w:t>城步苗族自治</w:t>
      </w:r>
      <w:r>
        <w:rPr>
          <w:rFonts w:ascii="宋体" w:hAnsi="宋体" w:eastAsia="宋体" w:cs="Times New Roman"/>
          <w:color w:val="000000"/>
          <w:szCs w:val="32"/>
        </w:rPr>
        <w:t>县自然资源局</w:t>
      </w:r>
    </w:p>
    <w:p>
      <w:pPr>
        <w:adjustRightInd w:val="0"/>
        <w:snapToGrid w:val="0"/>
        <w:spacing w:line="360" w:lineRule="auto"/>
        <w:ind w:left="640" w:leftChars="200" w:firstLine="3200" w:firstLineChars="1000"/>
        <w:rPr>
          <w:rFonts w:ascii="宋体" w:hAnsi="宋体" w:eastAsia="宋体" w:cs="Times New Roman"/>
          <w:color w:val="000000"/>
          <w:szCs w:val="32"/>
        </w:rPr>
      </w:pPr>
    </w:p>
    <w:p>
      <w:pPr>
        <w:adjustRightInd w:val="0"/>
        <w:snapToGrid w:val="0"/>
        <w:spacing w:line="360" w:lineRule="auto"/>
        <w:ind w:left="640" w:leftChars="200" w:firstLine="1600" w:firstLineChars="500"/>
        <w:rPr>
          <w:rFonts w:ascii="宋体" w:hAnsi="宋体" w:eastAsia="宋体" w:cs="Times New Roman"/>
          <w:color w:val="000000"/>
          <w:szCs w:val="32"/>
        </w:rPr>
      </w:pPr>
      <w:r>
        <w:rPr>
          <w:rFonts w:ascii="宋体" w:hAnsi="宋体" w:eastAsia="宋体" w:cs="Times New Roman"/>
          <w:color w:val="000000"/>
          <w:szCs w:val="32"/>
        </w:rPr>
        <w:t>编制单位：湖南省第二测绘院</w:t>
      </w:r>
    </w:p>
    <w:p>
      <w:pPr>
        <w:adjustRightInd w:val="0"/>
        <w:snapToGrid w:val="0"/>
        <w:spacing w:line="360" w:lineRule="auto"/>
        <w:ind w:left="640" w:leftChars="200" w:firstLine="2880" w:firstLineChars="900"/>
        <w:rPr>
          <w:rFonts w:ascii="宋体" w:hAnsi="宋体" w:eastAsia="宋体" w:cs="Times New Roman"/>
          <w:color w:val="000000"/>
          <w:szCs w:val="32"/>
        </w:rPr>
      </w:pPr>
    </w:p>
    <w:p>
      <w:pPr>
        <w:adjustRightInd w:val="0"/>
        <w:snapToGrid w:val="0"/>
        <w:spacing w:line="360" w:lineRule="auto"/>
        <w:ind w:left="640" w:leftChars="200" w:firstLine="2880" w:firstLineChars="900"/>
        <w:rPr>
          <w:rFonts w:ascii="宋体" w:hAnsi="宋体" w:eastAsia="宋体" w:cs="Times New Roman"/>
          <w:color w:val="000000"/>
          <w:szCs w:val="32"/>
        </w:rPr>
      </w:pPr>
      <w:r>
        <w:rPr>
          <w:rFonts w:ascii="宋体" w:hAnsi="宋体" w:eastAsia="宋体" w:cs="Times New Roman"/>
          <w:color w:val="000000"/>
          <w:szCs w:val="32"/>
        </w:rPr>
        <w:t>二〇二一年</w:t>
      </w:r>
      <w:r>
        <w:rPr>
          <w:rFonts w:hint="eastAsia" w:ascii="宋体" w:hAnsi="宋体" w:eastAsia="宋体" w:cs="Times New Roman"/>
          <w:color w:val="000000"/>
          <w:szCs w:val="32"/>
        </w:rPr>
        <w:t>四</w:t>
      </w:r>
      <w:r>
        <w:rPr>
          <w:rFonts w:ascii="宋体" w:hAnsi="宋体" w:eastAsia="宋体" w:cs="Times New Roman"/>
          <w:color w:val="000000"/>
          <w:szCs w:val="32"/>
        </w:rPr>
        <w:t>月</w:t>
      </w:r>
    </w:p>
    <w:p>
      <w:pPr>
        <w:adjustRightInd w:val="0"/>
        <w:snapToGrid w:val="0"/>
        <w:spacing w:line="360" w:lineRule="auto"/>
        <w:ind w:firstLine="0" w:firstLineChars="0"/>
        <w:jc w:val="center"/>
        <w:rPr>
          <w:rFonts w:ascii="宋体" w:hAnsi="宋体" w:eastAsia="宋体" w:cs="Times New Roman"/>
          <w:color w:val="000000"/>
          <w:szCs w:val="32"/>
        </w:rPr>
      </w:pPr>
      <w:r>
        <w:rPr>
          <w:rFonts w:ascii="宋体" w:hAnsi="宋体" w:eastAsia="宋体" w:cs="Times New Roman"/>
          <w:color w:val="000000"/>
          <w:szCs w:val="32"/>
        </w:rPr>
        <w:drawing>
          <wp:inline distT="0" distB="0" distL="114300" distR="114300">
            <wp:extent cx="5600700" cy="7917180"/>
            <wp:effectExtent l="0" t="0" r="0" b="7620"/>
            <wp:docPr id="68" name="图片 68" descr="城步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城步县"/>
                    <pic:cNvPicPr>
                      <a:picLocks noChangeAspect="1"/>
                    </pic:cNvPicPr>
                  </pic:nvPicPr>
                  <pic:blipFill>
                    <a:blip r:embed="rId12"/>
                    <a:stretch>
                      <a:fillRect/>
                    </a:stretch>
                  </pic:blipFill>
                  <pic:spPr>
                    <a:xfrm>
                      <a:off x="0" y="0"/>
                      <a:ext cx="5598824" cy="7914781"/>
                    </a:xfrm>
                    <a:prstGeom prst="rect">
                      <a:avLst/>
                    </a:prstGeom>
                  </pic:spPr>
                </pic:pic>
              </a:graphicData>
            </a:graphic>
          </wp:inline>
        </w:drawing>
      </w:r>
      <w:r>
        <w:rPr>
          <w:rFonts w:ascii="宋体" w:hAnsi="宋体" w:eastAsia="宋体" w:cs="Times New Roman"/>
          <w:color w:val="000000"/>
          <w:szCs w:val="32"/>
        </w:rPr>
        <w:br w:type="page"/>
      </w:r>
    </w:p>
    <w:p>
      <w:pPr>
        <w:adjustRightInd w:val="0"/>
        <w:snapToGrid w:val="0"/>
        <w:spacing w:line="360" w:lineRule="auto"/>
        <w:ind w:left="640" w:leftChars="200" w:firstLine="2880" w:firstLineChars="900"/>
        <w:rPr>
          <w:rFonts w:ascii="宋体" w:hAnsi="宋体" w:eastAsia="宋体" w:cs="Times New Roman"/>
          <w:color w:val="000000"/>
          <w:szCs w:val="32"/>
        </w:rPr>
        <w:sectPr>
          <w:headerReference r:id="rId5" w:type="first"/>
          <w:footerReference r:id="rId8" w:type="first"/>
          <w:headerReference r:id="rId3" w:type="default"/>
          <w:footerReference r:id="rId6" w:type="default"/>
          <w:headerReference r:id="rId4" w:type="even"/>
          <w:footerReference r:id="rId7" w:type="even"/>
          <w:pgSz w:w="11906" w:h="16838"/>
          <w:pgMar w:top="1871" w:right="1474" w:bottom="1701" w:left="1474" w:header="851" w:footer="1361" w:gutter="0"/>
          <w:cols w:space="425" w:num="1"/>
          <w:docGrid w:type="lines" w:linePitch="312" w:charSpace="0"/>
        </w:sectPr>
      </w:pPr>
    </w:p>
    <w:p>
      <w:pPr>
        <w:adjustRightInd w:val="0"/>
        <w:snapToGrid w:val="0"/>
        <w:spacing w:line="360" w:lineRule="auto"/>
        <w:ind w:left="640" w:leftChars="200" w:firstLine="2700" w:firstLineChars="900"/>
        <w:rPr>
          <w:rFonts w:ascii="宋体" w:hAnsi="宋体" w:eastAsia="宋体" w:cs="Times New Roman"/>
          <w:color w:val="000000"/>
          <w:szCs w:val="32"/>
        </w:rPr>
        <w:sectPr>
          <w:pgSz w:w="11906" w:h="16838"/>
          <w:pgMar w:top="1871" w:right="1474" w:bottom="1701" w:left="1474" w:header="851" w:footer="1361" w:gutter="0"/>
          <w:cols w:space="425" w:num="1"/>
          <w:docGrid w:type="lines" w:linePitch="312" w:charSpace="0"/>
        </w:sectPr>
      </w:pPr>
      <w:r>
        <w:rPr>
          <w:rFonts w:cs="Times New Roman"/>
          <w:sz w:val="30"/>
          <w:szCs w:val="30"/>
        </w:rPr>
        <w:drawing>
          <wp:anchor distT="0" distB="0" distL="0" distR="0" simplePos="0" relativeHeight="252042240" behindDoc="0" locked="0" layoutInCell="1" allowOverlap="1">
            <wp:simplePos x="0" y="0"/>
            <wp:positionH relativeFrom="column">
              <wp:posOffset>39370</wp:posOffset>
            </wp:positionH>
            <wp:positionV relativeFrom="page">
              <wp:posOffset>1271905</wp:posOffset>
            </wp:positionV>
            <wp:extent cx="5664200" cy="6982460"/>
            <wp:effectExtent l="0" t="0" r="0" b="8890"/>
            <wp:wrapTopAndBottom/>
            <wp:docPr id="501" name="图片 500" descr="20201210215417745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图片 500" descr="20201210215417745_0001.jpg"/>
                    <pic:cNvPicPr>
                      <a:picLocks noChangeAspect="1"/>
                    </pic:cNvPicPr>
                  </pic:nvPicPr>
                  <pic:blipFill>
                    <a:blip r:embed="rId13" cstate="print"/>
                    <a:srcRect l="9578" t="19840" r="7983" b="9865"/>
                    <a:stretch>
                      <a:fillRect/>
                    </a:stretch>
                  </pic:blipFill>
                  <pic:spPr>
                    <a:xfrm>
                      <a:off x="0" y="0"/>
                      <a:ext cx="5664200" cy="6982460"/>
                    </a:xfrm>
                    <a:prstGeom prst="rect">
                      <a:avLst/>
                    </a:prstGeom>
                    <a:ln>
                      <a:noFill/>
                    </a:ln>
                  </pic:spPr>
                </pic:pic>
              </a:graphicData>
            </a:graphic>
          </wp:anchor>
        </w:drawing>
      </w:r>
    </w:p>
    <w:p>
      <w:pPr>
        <w:pStyle w:val="13"/>
        <w:tabs>
          <w:tab w:val="right" w:leader="dot" w:pos="8948"/>
        </w:tabs>
        <w:ind w:firstLine="0" w:firstLineChars="0"/>
        <w:jc w:val="center"/>
        <w:rPr>
          <w:rFonts w:hint="eastAsia" w:ascii="黑体" w:hAnsi="黑体" w:eastAsia="黑体" w:cs="Times New Roman"/>
          <w:b/>
          <w:color w:val="000000"/>
          <w:szCs w:val="32"/>
        </w:rPr>
      </w:pPr>
      <w:r>
        <w:rPr>
          <w:rFonts w:hint="eastAsia" w:ascii="黑体" w:hAnsi="黑体" w:eastAsia="黑体" w:cs="Times New Roman"/>
          <w:b/>
          <w:color w:val="000000"/>
          <w:szCs w:val="32"/>
        </w:rPr>
        <w:t>目  录</w:t>
      </w:r>
    </w:p>
    <w:p>
      <w:pPr>
        <w:pStyle w:val="13"/>
        <w:tabs>
          <w:tab w:val="right" w:leader="dot" w:pos="8948"/>
        </w:tabs>
        <w:ind w:firstLine="0" w:firstLineChars="0"/>
        <w:rPr>
          <w:rFonts w:asciiTheme="minorHAnsi" w:hAnsiTheme="minorHAnsi" w:eastAsiaTheme="minorEastAsia"/>
          <w:sz w:val="21"/>
        </w:rPr>
      </w:pPr>
      <w:r>
        <w:rPr>
          <w:rFonts w:ascii="宋体" w:hAnsi="宋体" w:eastAsia="宋体" w:cs="Times New Roman"/>
          <w:color w:val="000000"/>
          <w:szCs w:val="32"/>
        </w:rPr>
        <w:fldChar w:fldCharType="begin"/>
      </w:r>
      <w:r>
        <w:rPr>
          <w:rFonts w:ascii="宋体" w:hAnsi="宋体" w:eastAsia="宋体" w:cs="Times New Roman"/>
          <w:color w:val="000000"/>
          <w:szCs w:val="32"/>
        </w:rPr>
        <w:instrText xml:space="preserve"> TOC \o "1-2" \h \z \u </w:instrText>
      </w:r>
      <w:r>
        <w:rPr>
          <w:rFonts w:ascii="宋体" w:hAnsi="宋体" w:eastAsia="宋体" w:cs="Times New Roman"/>
          <w:color w:val="000000"/>
          <w:szCs w:val="32"/>
        </w:rPr>
        <w:fldChar w:fldCharType="separate"/>
      </w:r>
      <w:r>
        <w:fldChar w:fldCharType="begin"/>
      </w:r>
      <w:r>
        <w:instrText xml:space="preserve"> HYPERLINK \l "_Toc81993229" </w:instrText>
      </w:r>
      <w:r>
        <w:fldChar w:fldCharType="separate"/>
      </w:r>
      <w:r>
        <w:rPr>
          <w:rStyle w:val="25"/>
        </w:rPr>
        <w:t xml:space="preserve">1 </w:t>
      </w:r>
      <w:r>
        <w:rPr>
          <w:rStyle w:val="25"/>
          <w:rFonts w:hint="eastAsia"/>
        </w:rPr>
        <w:t>绪论</w:t>
      </w:r>
      <w:r>
        <w:tab/>
      </w:r>
      <w:r>
        <w:fldChar w:fldCharType="begin"/>
      </w:r>
      <w:r>
        <w:instrText xml:space="preserve"> PAGEREF _Toc81993229 \h </w:instrText>
      </w:r>
      <w:r>
        <w:fldChar w:fldCharType="separate"/>
      </w:r>
      <w:r>
        <w:t>1</w:t>
      </w:r>
      <w:r>
        <w:fldChar w:fldCharType="end"/>
      </w:r>
      <w:r>
        <w:fldChar w:fldCharType="end"/>
      </w:r>
    </w:p>
    <w:p>
      <w:pPr>
        <w:pStyle w:val="14"/>
        <w:tabs>
          <w:tab w:val="right" w:leader="dot" w:pos="8948"/>
        </w:tabs>
        <w:ind w:left="640" w:firstLine="0" w:firstLineChars="0"/>
        <w:rPr>
          <w:rFonts w:asciiTheme="minorHAnsi" w:hAnsiTheme="minorHAnsi" w:eastAsiaTheme="minorEastAsia"/>
          <w:sz w:val="21"/>
        </w:rPr>
      </w:pPr>
      <w:r>
        <w:fldChar w:fldCharType="begin"/>
      </w:r>
      <w:r>
        <w:instrText xml:space="preserve"> HYPERLINK \l "_Toc81993230" </w:instrText>
      </w:r>
      <w:r>
        <w:fldChar w:fldCharType="separate"/>
      </w:r>
      <w:r>
        <w:rPr>
          <w:rStyle w:val="25"/>
          <w:rFonts w:eastAsia="黑体"/>
        </w:rPr>
        <w:t xml:space="preserve">1.1 </w:t>
      </w:r>
      <w:r>
        <w:rPr>
          <w:rStyle w:val="25"/>
          <w:rFonts w:hint="eastAsia"/>
        </w:rPr>
        <w:t>城步苗族自治县基本情况</w:t>
      </w:r>
      <w:r>
        <w:tab/>
      </w:r>
      <w:r>
        <w:fldChar w:fldCharType="begin"/>
      </w:r>
      <w:r>
        <w:instrText xml:space="preserve"> PAGEREF _Toc81993230 \h </w:instrText>
      </w:r>
      <w:r>
        <w:fldChar w:fldCharType="separate"/>
      </w:r>
      <w:r>
        <w:t>2</w:t>
      </w:r>
      <w:r>
        <w:fldChar w:fldCharType="end"/>
      </w:r>
      <w:r>
        <w:fldChar w:fldCharType="end"/>
      </w:r>
    </w:p>
    <w:p>
      <w:pPr>
        <w:pStyle w:val="14"/>
        <w:tabs>
          <w:tab w:val="right" w:leader="dot" w:pos="8948"/>
        </w:tabs>
        <w:ind w:left="640" w:firstLine="0" w:firstLineChars="0"/>
        <w:rPr>
          <w:rFonts w:asciiTheme="minorHAnsi" w:hAnsiTheme="minorHAnsi" w:eastAsiaTheme="minorEastAsia"/>
          <w:sz w:val="21"/>
        </w:rPr>
      </w:pPr>
      <w:r>
        <w:fldChar w:fldCharType="begin"/>
      </w:r>
      <w:r>
        <w:instrText xml:space="preserve"> HYPERLINK \l "_Toc81993231" </w:instrText>
      </w:r>
      <w:r>
        <w:fldChar w:fldCharType="separate"/>
      </w:r>
      <w:r>
        <w:rPr>
          <w:rStyle w:val="25"/>
        </w:rPr>
        <w:t xml:space="preserve">1.2 </w:t>
      </w:r>
      <w:r>
        <w:rPr>
          <w:rStyle w:val="25"/>
          <w:rFonts w:hint="eastAsia"/>
        </w:rPr>
        <w:t>划界依据</w:t>
      </w:r>
      <w:r>
        <w:tab/>
      </w:r>
      <w:r>
        <w:fldChar w:fldCharType="begin"/>
      </w:r>
      <w:r>
        <w:instrText xml:space="preserve"> PAGEREF _Toc81993231 \h </w:instrText>
      </w:r>
      <w:r>
        <w:fldChar w:fldCharType="separate"/>
      </w:r>
      <w:r>
        <w:t>2</w:t>
      </w:r>
      <w:r>
        <w:fldChar w:fldCharType="end"/>
      </w:r>
      <w:r>
        <w:fldChar w:fldCharType="end"/>
      </w:r>
    </w:p>
    <w:p>
      <w:pPr>
        <w:pStyle w:val="14"/>
        <w:tabs>
          <w:tab w:val="right" w:leader="dot" w:pos="8948"/>
        </w:tabs>
        <w:ind w:left="640" w:firstLine="0" w:firstLineChars="0"/>
        <w:rPr>
          <w:rFonts w:asciiTheme="minorHAnsi" w:hAnsiTheme="minorHAnsi" w:eastAsiaTheme="minorEastAsia"/>
          <w:sz w:val="21"/>
        </w:rPr>
      </w:pPr>
      <w:r>
        <w:fldChar w:fldCharType="begin"/>
      </w:r>
      <w:r>
        <w:instrText xml:space="preserve"> HYPERLINK \l "_Toc81993232" </w:instrText>
      </w:r>
      <w:r>
        <w:fldChar w:fldCharType="separate"/>
      </w:r>
      <w:r>
        <w:rPr>
          <w:rStyle w:val="25"/>
        </w:rPr>
        <w:t xml:space="preserve">1.3 </w:t>
      </w:r>
      <w:r>
        <w:rPr>
          <w:rStyle w:val="25"/>
          <w:rFonts w:hint="eastAsia"/>
        </w:rPr>
        <w:t>划界成果</w:t>
      </w:r>
      <w:r>
        <w:tab/>
      </w:r>
      <w:r>
        <w:fldChar w:fldCharType="begin"/>
      </w:r>
      <w:r>
        <w:instrText xml:space="preserve"> PAGEREF _Toc81993232 \h </w:instrText>
      </w:r>
      <w:r>
        <w:fldChar w:fldCharType="separate"/>
      </w:r>
      <w:r>
        <w:t>5</w:t>
      </w:r>
      <w:r>
        <w:fldChar w:fldCharType="end"/>
      </w:r>
      <w:r>
        <w:fldChar w:fldCharType="end"/>
      </w:r>
    </w:p>
    <w:p>
      <w:pPr>
        <w:pStyle w:val="13"/>
        <w:tabs>
          <w:tab w:val="right" w:leader="dot" w:pos="8948"/>
        </w:tabs>
        <w:ind w:firstLine="0" w:firstLineChars="0"/>
        <w:rPr>
          <w:rFonts w:asciiTheme="minorHAnsi" w:hAnsiTheme="minorHAnsi" w:eastAsiaTheme="minorEastAsia"/>
          <w:sz w:val="21"/>
        </w:rPr>
      </w:pPr>
      <w:r>
        <w:fldChar w:fldCharType="begin"/>
      </w:r>
      <w:r>
        <w:instrText xml:space="preserve"> HYPERLINK \l "_Toc81993233" </w:instrText>
      </w:r>
      <w:r>
        <w:fldChar w:fldCharType="separate"/>
      </w:r>
      <w:r>
        <w:rPr>
          <w:rStyle w:val="25"/>
        </w:rPr>
        <w:t xml:space="preserve">2 </w:t>
      </w:r>
      <w:r>
        <w:rPr>
          <w:rStyle w:val="25"/>
          <w:rFonts w:hint="eastAsia"/>
        </w:rPr>
        <w:t>水利工程基本情况</w:t>
      </w:r>
      <w:r>
        <w:tab/>
      </w:r>
      <w:r>
        <w:fldChar w:fldCharType="begin"/>
      </w:r>
      <w:r>
        <w:instrText xml:space="preserve"> PAGEREF _Toc81993233 \h </w:instrText>
      </w:r>
      <w:r>
        <w:fldChar w:fldCharType="separate"/>
      </w:r>
      <w:r>
        <w:t>6</w:t>
      </w:r>
      <w:r>
        <w:fldChar w:fldCharType="end"/>
      </w:r>
      <w:r>
        <w:fldChar w:fldCharType="end"/>
      </w:r>
    </w:p>
    <w:p>
      <w:pPr>
        <w:pStyle w:val="14"/>
        <w:tabs>
          <w:tab w:val="right" w:leader="dot" w:pos="8948"/>
        </w:tabs>
        <w:ind w:left="640" w:firstLine="0" w:firstLineChars="0"/>
        <w:rPr>
          <w:rFonts w:asciiTheme="minorHAnsi" w:hAnsiTheme="minorHAnsi" w:eastAsiaTheme="minorEastAsia"/>
          <w:sz w:val="21"/>
        </w:rPr>
      </w:pPr>
      <w:r>
        <w:fldChar w:fldCharType="begin"/>
      </w:r>
      <w:r>
        <w:instrText xml:space="preserve"> HYPERLINK \l "_Toc81993234" </w:instrText>
      </w:r>
      <w:r>
        <w:fldChar w:fldCharType="separate"/>
      </w:r>
      <w:r>
        <w:rPr>
          <w:rStyle w:val="25"/>
        </w:rPr>
        <w:t xml:space="preserve">2.1 </w:t>
      </w:r>
      <w:r>
        <w:rPr>
          <w:rStyle w:val="25"/>
          <w:rFonts w:hint="eastAsia"/>
        </w:rPr>
        <w:t>水利工程分布情况</w:t>
      </w:r>
      <w:r>
        <w:tab/>
      </w:r>
      <w:r>
        <w:fldChar w:fldCharType="begin"/>
      </w:r>
      <w:r>
        <w:instrText xml:space="preserve"> PAGEREF _Toc81993234 \h </w:instrText>
      </w:r>
      <w:r>
        <w:fldChar w:fldCharType="separate"/>
      </w:r>
      <w:r>
        <w:t>6</w:t>
      </w:r>
      <w:r>
        <w:fldChar w:fldCharType="end"/>
      </w:r>
      <w:r>
        <w:fldChar w:fldCharType="end"/>
      </w:r>
    </w:p>
    <w:p>
      <w:pPr>
        <w:pStyle w:val="14"/>
        <w:tabs>
          <w:tab w:val="right" w:leader="dot" w:pos="8948"/>
        </w:tabs>
        <w:ind w:left="640" w:firstLine="0" w:firstLineChars="0"/>
        <w:rPr>
          <w:rFonts w:asciiTheme="minorHAnsi" w:hAnsiTheme="minorHAnsi" w:eastAsiaTheme="minorEastAsia"/>
          <w:sz w:val="21"/>
        </w:rPr>
      </w:pPr>
      <w:r>
        <w:fldChar w:fldCharType="begin"/>
      </w:r>
      <w:r>
        <w:instrText xml:space="preserve"> HYPERLINK \l "_Toc81993235" </w:instrText>
      </w:r>
      <w:r>
        <w:fldChar w:fldCharType="separate"/>
      </w:r>
      <w:r>
        <w:rPr>
          <w:rStyle w:val="25"/>
        </w:rPr>
        <w:t xml:space="preserve">2.2 </w:t>
      </w:r>
      <w:r>
        <w:rPr>
          <w:rStyle w:val="25"/>
          <w:rFonts w:hint="eastAsia"/>
        </w:rPr>
        <w:t>水库基本信息</w:t>
      </w:r>
      <w:r>
        <w:tab/>
      </w:r>
      <w:r>
        <w:fldChar w:fldCharType="begin"/>
      </w:r>
      <w:r>
        <w:instrText xml:space="preserve"> PAGEREF _Toc81993235 \h </w:instrText>
      </w:r>
      <w:r>
        <w:fldChar w:fldCharType="separate"/>
      </w:r>
      <w:r>
        <w:t>10</w:t>
      </w:r>
      <w:r>
        <w:fldChar w:fldCharType="end"/>
      </w:r>
      <w:r>
        <w:fldChar w:fldCharType="end"/>
      </w:r>
    </w:p>
    <w:p>
      <w:pPr>
        <w:pStyle w:val="13"/>
        <w:tabs>
          <w:tab w:val="right" w:leader="dot" w:pos="8948"/>
        </w:tabs>
        <w:ind w:firstLine="0" w:firstLineChars="0"/>
        <w:rPr>
          <w:rFonts w:asciiTheme="minorHAnsi" w:hAnsiTheme="minorHAnsi" w:eastAsiaTheme="minorEastAsia"/>
          <w:sz w:val="21"/>
        </w:rPr>
      </w:pPr>
      <w:r>
        <w:fldChar w:fldCharType="begin"/>
      </w:r>
      <w:r>
        <w:instrText xml:space="preserve"> HYPERLINK \l "_Toc81993236" </w:instrText>
      </w:r>
      <w:r>
        <w:fldChar w:fldCharType="separate"/>
      </w:r>
      <w:r>
        <w:rPr>
          <w:rStyle w:val="25"/>
        </w:rPr>
        <w:t xml:space="preserve">3 </w:t>
      </w:r>
      <w:r>
        <w:rPr>
          <w:rStyle w:val="25"/>
          <w:rFonts w:hint="eastAsia"/>
        </w:rPr>
        <w:t>管理与保护范围线标绘</w:t>
      </w:r>
      <w:r>
        <w:tab/>
      </w:r>
      <w:r>
        <w:fldChar w:fldCharType="begin"/>
      </w:r>
      <w:r>
        <w:instrText xml:space="preserve"> PAGEREF _Toc81993236 \h </w:instrText>
      </w:r>
      <w:r>
        <w:fldChar w:fldCharType="separate"/>
      </w:r>
      <w:r>
        <w:t>15</w:t>
      </w:r>
      <w:r>
        <w:fldChar w:fldCharType="end"/>
      </w:r>
      <w:r>
        <w:fldChar w:fldCharType="end"/>
      </w:r>
    </w:p>
    <w:p>
      <w:pPr>
        <w:pStyle w:val="14"/>
        <w:tabs>
          <w:tab w:val="right" w:leader="dot" w:pos="8948"/>
        </w:tabs>
        <w:ind w:left="640" w:firstLine="0" w:firstLineChars="0"/>
        <w:rPr>
          <w:rFonts w:asciiTheme="minorHAnsi" w:hAnsiTheme="minorHAnsi" w:eastAsiaTheme="minorEastAsia"/>
          <w:sz w:val="21"/>
        </w:rPr>
      </w:pPr>
      <w:r>
        <w:fldChar w:fldCharType="begin"/>
      </w:r>
      <w:r>
        <w:instrText xml:space="preserve"> HYPERLINK \l "_Toc81993237" </w:instrText>
      </w:r>
      <w:r>
        <w:fldChar w:fldCharType="separate"/>
      </w:r>
      <w:r>
        <w:rPr>
          <w:rStyle w:val="25"/>
        </w:rPr>
        <w:t xml:space="preserve">3.1 </w:t>
      </w:r>
      <w:r>
        <w:rPr>
          <w:rStyle w:val="25"/>
          <w:rFonts w:hint="eastAsia"/>
        </w:rPr>
        <w:t>库区设计洪水位线分析计算</w:t>
      </w:r>
      <w:r>
        <w:tab/>
      </w:r>
      <w:r>
        <w:fldChar w:fldCharType="begin"/>
      </w:r>
      <w:r>
        <w:instrText xml:space="preserve"> PAGEREF _Toc81993237 \h </w:instrText>
      </w:r>
      <w:r>
        <w:fldChar w:fldCharType="separate"/>
      </w:r>
      <w:r>
        <w:t>15</w:t>
      </w:r>
      <w:r>
        <w:fldChar w:fldCharType="end"/>
      </w:r>
      <w:r>
        <w:fldChar w:fldCharType="end"/>
      </w:r>
    </w:p>
    <w:p>
      <w:pPr>
        <w:pStyle w:val="14"/>
        <w:tabs>
          <w:tab w:val="right" w:leader="dot" w:pos="8948"/>
        </w:tabs>
        <w:ind w:left="640" w:firstLine="0" w:firstLineChars="0"/>
        <w:rPr>
          <w:rFonts w:asciiTheme="minorHAnsi" w:hAnsiTheme="minorHAnsi" w:eastAsiaTheme="minorEastAsia"/>
          <w:sz w:val="21"/>
        </w:rPr>
      </w:pPr>
      <w:r>
        <w:fldChar w:fldCharType="begin"/>
      </w:r>
      <w:r>
        <w:instrText xml:space="preserve"> HYPERLINK \l "_Toc81993238" </w:instrText>
      </w:r>
      <w:r>
        <w:fldChar w:fldCharType="separate"/>
      </w:r>
      <w:r>
        <w:rPr>
          <w:rStyle w:val="25"/>
        </w:rPr>
        <w:t xml:space="preserve">3.3 </w:t>
      </w:r>
      <w:r>
        <w:rPr>
          <w:rStyle w:val="25"/>
          <w:rFonts w:hint="eastAsia"/>
        </w:rPr>
        <w:t>管理与保护范围线标绘</w:t>
      </w:r>
      <w:r>
        <w:tab/>
      </w:r>
      <w:r>
        <w:fldChar w:fldCharType="begin"/>
      </w:r>
      <w:r>
        <w:instrText xml:space="preserve"> PAGEREF _Toc81993238 \h </w:instrText>
      </w:r>
      <w:r>
        <w:fldChar w:fldCharType="separate"/>
      </w:r>
      <w:r>
        <w:t>17</w:t>
      </w:r>
      <w:r>
        <w:fldChar w:fldCharType="end"/>
      </w:r>
      <w:r>
        <w:fldChar w:fldCharType="end"/>
      </w:r>
    </w:p>
    <w:p>
      <w:pPr>
        <w:pStyle w:val="14"/>
        <w:tabs>
          <w:tab w:val="right" w:leader="dot" w:pos="8948"/>
        </w:tabs>
        <w:ind w:left="640" w:firstLine="0" w:firstLineChars="0"/>
        <w:rPr>
          <w:rFonts w:asciiTheme="minorHAnsi" w:hAnsiTheme="minorHAnsi" w:eastAsiaTheme="minorEastAsia"/>
          <w:sz w:val="21"/>
        </w:rPr>
      </w:pPr>
      <w:r>
        <w:fldChar w:fldCharType="begin"/>
      </w:r>
      <w:r>
        <w:instrText xml:space="preserve"> HYPERLINK \l "_Toc81993239" </w:instrText>
      </w:r>
      <w:r>
        <w:fldChar w:fldCharType="separate"/>
      </w:r>
      <w:r>
        <w:rPr>
          <w:rStyle w:val="25"/>
        </w:rPr>
        <w:t xml:space="preserve">3.4 </w:t>
      </w:r>
      <w:r>
        <w:rPr>
          <w:rStyle w:val="25"/>
          <w:rFonts w:hint="eastAsia"/>
        </w:rPr>
        <w:t>电子桩和电子告示牌布设</w:t>
      </w:r>
      <w:r>
        <w:tab/>
      </w:r>
      <w:r>
        <w:fldChar w:fldCharType="begin"/>
      </w:r>
      <w:r>
        <w:instrText xml:space="preserve"> PAGEREF _Toc81993239 \h </w:instrText>
      </w:r>
      <w:r>
        <w:fldChar w:fldCharType="separate"/>
      </w:r>
      <w:r>
        <w:t>26</w:t>
      </w:r>
      <w:r>
        <w:fldChar w:fldCharType="end"/>
      </w:r>
      <w:r>
        <w:fldChar w:fldCharType="end"/>
      </w:r>
    </w:p>
    <w:p>
      <w:pPr>
        <w:pStyle w:val="13"/>
        <w:tabs>
          <w:tab w:val="right" w:leader="dot" w:pos="8948"/>
        </w:tabs>
        <w:ind w:firstLine="0" w:firstLineChars="0"/>
        <w:rPr>
          <w:rFonts w:asciiTheme="minorHAnsi" w:hAnsiTheme="minorHAnsi" w:eastAsiaTheme="minorEastAsia"/>
          <w:sz w:val="21"/>
        </w:rPr>
      </w:pPr>
      <w:r>
        <w:fldChar w:fldCharType="begin"/>
      </w:r>
      <w:r>
        <w:instrText xml:space="preserve"> HYPERLINK \l "_Toc81993240" </w:instrText>
      </w:r>
      <w:r>
        <w:fldChar w:fldCharType="separate"/>
      </w:r>
      <w:r>
        <w:rPr>
          <w:rStyle w:val="25"/>
        </w:rPr>
        <w:t xml:space="preserve">4 </w:t>
      </w:r>
      <w:r>
        <w:rPr>
          <w:rStyle w:val="25"/>
          <w:rFonts w:hint="eastAsia"/>
        </w:rPr>
        <w:t>管理与保护范围线核实勘定</w:t>
      </w:r>
      <w:r>
        <w:tab/>
      </w:r>
      <w:r>
        <w:fldChar w:fldCharType="begin"/>
      </w:r>
      <w:r>
        <w:instrText xml:space="preserve"> PAGEREF _Toc81993240 \h </w:instrText>
      </w:r>
      <w:r>
        <w:fldChar w:fldCharType="separate"/>
      </w:r>
      <w:r>
        <w:t>29</w:t>
      </w:r>
      <w:r>
        <w:fldChar w:fldCharType="end"/>
      </w:r>
      <w:r>
        <w:fldChar w:fldCharType="end"/>
      </w:r>
    </w:p>
    <w:p>
      <w:pPr>
        <w:adjustRightInd w:val="0"/>
        <w:snapToGrid w:val="0"/>
        <w:spacing w:line="360" w:lineRule="auto"/>
        <w:ind w:left="640" w:leftChars="200" w:firstLine="2880" w:firstLineChars="900"/>
        <w:rPr>
          <w:rFonts w:ascii="宋体" w:hAnsi="宋体" w:eastAsia="宋体" w:cs="Times New Roman"/>
          <w:color w:val="000000"/>
          <w:szCs w:val="32"/>
        </w:rPr>
      </w:pPr>
      <w:r>
        <w:rPr>
          <w:rFonts w:ascii="宋体" w:hAnsi="宋体" w:eastAsia="宋体" w:cs="Times New Roman"/>
          <w:color w:val="000000"/>
          <w:szCs w:val="32"/>
        </w:rPr>
        <w:fldChar w:fldCharType="end"/>
      </w:r>
    </w:p>
    <w:p>
      <w:pPr>
        <w:widowControl/>
        <w:spacing w:line="240" w:lineRule="auto"/>
        <w:ind w:firstLine="0" w:firstLineChars="0"/>
        <w:jc w:val="left"/>
        <w:rPr>
          <w:rFonts w:eastAsia="黑体" w:cs="Times New Roman"/>
          <w:b/>
          <w:szCs w:val="32"/>
        </w:rPr>
        <w:sectPr>
          <w:pgSz w:w="11906" w:h="16838"/>
          <w:pgMar w:top="1871" w:right="1474" w:bottom="1701" w:left="1474" w:header="851" w:footer="1361" w:gutter="0"/>
          <w:cols w:space="425" w:num="1"/>
          <w:docGrid w:type="lines" w:linePitch="312" w:charSpace="0"/>
        </w:sectPr>
      </w:pPr>
    </w:p>
    <w:p>
      <w:pPr>
        <w:pStyle w:val="2"/>
      </w:pPr>
      <w:bookmarkStart w:id="0" w:name="_Toc81993229"/>
      <w:bookmarkStart w:id="1" w:name="_Toc8865_WPSOffice_Level1"/>
      <w:bookmarkStart w:id="2" w:name="_Toc66222760"/>
      <w:r>
        <w:t>1 绪论</w:t>
      </w:r>
      <w:bookmarkEnd w:id="0"/>
      <w:bookmarkEnd w:id="1"/>
      <w:bookmarkEnd w:id="2"/>
    </w:p>
    <w:p>
      <w:pPr>
        <w:ind w:firstLine="640"/>
      </w:pPr>
      <w:r>
        <w:t>水利工程管理与保护范围划定工作是根据《中华人民共和国水法》、《湖南省实施＜中华人民共和国水法＞办法》的有关规定和《水利部关于开展河湖管理和水利工程管理与保护范围划定工作的通知》（水建管〔2014〕285号）、《水利部关于加快推进水利工程管理与保护范围划定工作的通知》（水运管〔2018〕339号）文件的精神</w:t>
      </w:r>
      <w:r>
        <w:rPr>
          <w:rFonts w:hint="eastAsia"/>
        </w:rPr>
        <w:t>和“依法依规、因地制宜、尊重历史、符合实际”的工作原则</w:t>
      </w:r>
      <w:r>
        <w:t>，开展的一项河湖生态空间管控基础工作，同时也是我省水利基础设施空间布局规划这一重大项目前期工作的主要内容。</w:t>
      </w:r>
    </w:p>
    <w:p>
      <w:pPr>
        <w:ind w:firstLine="640"/>
      </w:pPr>
      <w:r>
        <w:rPr>
          <w:rFonts w:hint="eastAsia"/>
        </w:rPr>
        <w:t>划界的</w:t>
      </w:r>
      <w:r>
        <w:t>目的是建立范围明确、权属清晰、责任落实的水利工程管理保护责任体系，实现水利工程有效管理，支撑和促进经济社会可持续发展。依法划定水利工程管理与保护范围是“水利工程补短板，水利行业强监管”的基础工作，是确保水利工程安全和效益充分发挥的重要抓手，是水利行业扭转“重建轻管”局面的关键一环，是水利基础设施实现有效空间管控的必然途径，是全力保障我省水安全的战略举措，对水利行业的长远发展具有重大意义。</w:t>
      </w:r>
    </w:p>
    <w:p>
      <w:pPr>
        <w:widowControl/>
        <w:spacing w:line="240" w:lineRule="auto"/>
        <w:ind w:firstLine="0" w:firstLineChars="0"/>
        <w:jc w:val="left"/>
        <w:rPr>
          <w:rFonts w:eastAsia="黑体" w:cstheme="majorBidi"/>
          <w:b/>
          <w:bCs/>
          <w:sz w:val="28"/>
          <w:szCs w:val="28"/>
        </w:rPr>
      </w:pPr>
      <w:r>
        <w:rPr>
          <w:rFonts w:eastAsia="黑体"/>
          <w:sz w:val="28"/>
          <w:szCs w:val="28"/>
        </w:rPr>
        <w:br w:type="page"/>
      </w:r>
    </w:p>
    <w:p>
      <w:pPr>
        <w:pStyle w:val="3"/>
        <w:ind w:firstLine="562"/>
        <w:rPr>
          <w:rFonts w:eastAsia="黑体"/>
          <w:sz w:val="28"/>
          <w:szCs w:val="28"/>
        </w:rPr>
      </w:pPr>
      <w:bookmarkStart w:id="3" w:name="_Toc19898_WPSOffice_Level2"/>
      <w:bookmarkStart w:id="4" w:name="_Toc66222761"/>
      <w:bookmarkStart w:id="5" w:name="_Toc81993230"/>
      <w:r>
        <w:rPr>
          <w:rFonts w:eastAsia="黑体"/>
          <w:sz w:val="28"/>
          <w:szCs w:val="28"/>
        </w:rPr>
        <w:t>1.1</w:t>
      </w:r>
      <w:r>
        <w:rPr>
          <w:rFonts w:hint="eastAsia" w:eastAsia="黑体"/>
          <w:sz w:val="28"/>
          <w:szCs w:val="28"/>
        </w:rPr>
        <w:t xml:space="preserve"> </w:t>
      </w:r>
      <w:r>
        <w:rPr>
          <w:rFonts w:hint="eastAsia"/>
        </w:rPr>
        <w:t>城步苗族自治县</w:t>
      </w:r>
      <w:r>
        <w:t>基本情况</w:t>
      </w:r>
      <w:bookmarkEnd w:id="3"/>
      <w:bookmarkEnd w:id="4"/>
      <w:bookmarkEnd w:id="5"/>
    </w:p>
    <w:p>
      <w:pPr>
        <w:ind w:firstLine="640"/>
        <w:rPr>
          <w:rFonts w:cs="Times New Roman"/>
          <w:color w:val="000000" w:themeColor="text1"/>
          <w14:textFill>
            <w14:solidFill>
              <w14:schemeClr w14:val="tx1"/>
            </w14:solidFill>
          </w14:textFill>
        </w:rPr>
      </w:pPr>
      <w:bookmarkStart w:id="6" w:name="_Toc60738479"/>
      <w:r>
        <w:rPr>
          <w:rFonts w:cs="Times New Roman"/>
          <w:color w:val="000000" w:themeColor="text1"/>
          <w14:textFill>
            <w14:solidFill>
              <w14:schemeClr w14:val="tx1"/>
            </w14:solidFill>
          </w14:textFill>
        </w:rPr>
        <w:t>城步苗族自治县地处湖南省西南边陲，沅江支流巫水上游，位于北纬25</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58</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～26</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42</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，东经109</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58</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～110</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37</w:t>
      </w:r>
      <w:r>
        <w:rPr>
          <w:rFonts w:hint="eastAsia" w:cs="Times New Roman"/>
          <w:color w:val="000000" w:themeColor="text1"/>
          <w14:textFill>
            <w14:solidFill>
              <w14:schemeClr w14:val="tx1"/>
            </w14:solidFill>
          </w14:textFill>
        </w:rPr>
        <w:t>′</w:t>
      </w:r>
      <w:r>
        <w:rPr>
          <w:rFonts w:cs="Times New Roman"/>
          <w:color w:val="000000" w:themeColor="text1"/>
          <w14:textFill>
            <w14:solidFill>
              <w14:schemeClr w14:val="tx1"/>
            </w14:solidFill>
          </w14:textFill>
        </w:rPr>
        <w:t>；东界新宁县，南邻广西资源县和龙胜各族自治县，西接绥宁县和通道侗族自治县，北毗武冈市；东西直线纵距65</w:t>
      </w:r>
      <w:r>
        <w:rPr>
          <w:rFonts w:hint="eastAsia" w:cs="Times New Roman"/>
          <w:color w:val="000000" w:themeColor="text1"/>
          <w14:textFill>
            <w14:solidFill>
              <w14:schemeClr w14:val="tx1"/>
            </w14:solidFill>
          </w14:textFill>
        </w:rPr>
        <w:t>km</w:t>
      </w:r>
      <w:r>
        <w:rPr>
          <w:rFonts w:cs="Times New Roman"/>
          <w:color w:val="000000" w:themeColor="text1"/>
          <w14:textFill>
            <w14:solidFill>
              <w14:schemeClr w14:val="tx1"/>
            </w14:solidFill>
          </w14:textFill>
        </w:rPr>
        <w:t>，南北直线纵距83</w:t>
      </w:r>
      <w:r>
        <w:rPr>
          <w:rFonts w:hint="eastAsia" w:cs="Times New Roman"/>
          <w:color w:val="000000" w:themeColor="text1"/>
          <w14:textFill>
            <w14:solidFill>
              <w14:schemeClr w14:val="tx1"/>
            </w14:solidFill>
          </w14:textFill>
        </w:rPr>
        <w:t>km</w:t>
      </w:r>
      <w:r>
        <w:rPr>
          <w:rFonts w:cs="Times New Roman"/>
          <w:color w:val="000000" w:themeColor="text1"/>
          <w14:textFill>
            <w14:solidFill>
              <w14:schemeClr w14:val="tx1"/>
            </w14:solidFill>
          </w14:textFill>
        </w:rPr>
        <w:t>，总面积2647.07</w:t>
      </w:r>
      <w:r>
        <w:rPr>
          <w:rFonts w:hint="eastAsia" w:cs="Times New Roman"/>
          <w:color w:val="000000" w:themeColor="text1"/>
          <w14:textFill>
            <w14:solidFill>
              <w14:schemeClr w14:val="tx1"/>
            </w14:solidFill>
          </w14:textFill>
        </w:rPr>
        <w:t>km</w:t>
      </w:r>
      <w:r>
        <w:rPr>
          <w:rFonts w:hint="eastAsia" w:cs="Times New Roman"/>
          <w:color w:val="000000" w:themeColor="text1"/>
          <w:vertAlign w:val="superscript"/>
          <w14:textFill>
            <w14:solidFill>
              <w14:schemeClr w14:val="tx1"/>
            </w14:solidFill>
          </w14:textFill>
        </w:rPr>
        <w:t>2</w:t>
      </w:r>
      <w:r>
        <w:rPr>
          <w:rFonts w:cs="Times New Roman"/>
          <w:color w:val="000000" w:themeColor="text1"/>
          <w14:textFill>
            <w14:solidFill>
              <w14:schemeClr w14:val="tx1"/>
            </w14:solidFill>
          </w14:textFill>
        </w:rPr>
        <w:t>，折合397.06万亩。下辖儒林镇、茅坪镇、土桥农场、西岩镇、丹口镇、五团镇、长安营镇、威溪乡、白毛坪乡、兰蓉乡、汀坪乡、蒋坊乡、金紫乡13个乡镇（管理区），191个村（社区），县治儒林镇。居住着苗、汉、侗、瑶等24个民族，总人口约30万。县城儒林镇位于县境中部，北距邵阳市206km，距省会长沙436</w:t>
      </w:r>
      <w:r>
        <w:rPr>
          <w:rFonts w:hint="eastAsia" w:cs="Times New Roman"/>
          <w:color w:val="000000" w:themeColor="text1"/>
          <w14:textFill>
            <w14:solidFill>
              <w14:schemeClr w14:val="tx1"/>
            </w14:solidFill>
          </w14:textFill>
        </w:rPr>
        <w:t>km</w:t>
      </w:r>
      <w:r>
        <w:rPr>
          <w:rFonts w:cs="Times New Roman"/>
          <w:color w:val="000000" w:themeColor="text1"/>
          <w14:textFill>
            <w14:solidFill>
              <w14:schemeClr w14:val="tx1"/>
            </w14:solidFill>
          </w14:textFill>
        </w:rPr>
        <w:t>，南至桂林市210</w:t>
      </w:r>
      <w:r>
        <w:rPr>
          <w:rFonts w:hint="eastAsia" w:cs="Times New Roman"/>
          <w:color w:val="000000" w:themeColor="text1"/>
          <w14:textFill>
            <w14:solidFill>
              <w14:schemeClr w14:val="tx1"/>
            </w14:solidFill>
          </w14:textFill>
        </w:rPr>
        <w:t>km</w:t>
      </w:r>
      <w:r>
        <w:rPr>
          <w:rFonts w:cs="Times New Roman"/>
          <w:color w:val="000000" w:themeColor="text1"/>
          <w14:textFill>
            <w14:solidFill>
              <w14:schemeClr w14:val="tx1"/>
            </w14:solidFill>
          </w14:textFill>
        </w:rPr>
        <w:t>。城步苗族自治县地势起伏大，南高北低、东西部高峻，呈畚箕形向北敞口。南岭越城岭山脉绵亘南境，雪峰山脉纵贯县境、耸峙东西，东南西三面环山、层峦叠嶂，北面丘岗疏落，北部与中部连成狭长平缓地带。</w:t>
      </w:r>
    </w:p>
    <w:bookmarkEnd w:id="6"/>
    <w:p>
      <w:pPr>
        <w:pStyle w:val="3"/>
        <w:ind w:firstLine="643"/>
      </w:pPr>
      <w:bookmarkStart w:id="7" w:name="_Toc81993231"/>
      <w:bookmarkStart w:id="8" w:name="_Toc66222762"/>
      <w:bookmarkStart w:id="9" w:name="_Toc5312_WPSOffice_Level2"/>
      <w:bookmarkStart w:id="10" w:name="_Toc14333"/>
      <w:r>
        <w:t>1.2</w:t>
      </w:r>
      <w:r>
        <w:rPr>
          <w:rFonts w:hint="eastAsia"/>
        </w:rPr>
        <w:t xml:space="preserve"> </w:t>
      </w:r>
      <w:r>
        <w:t>划界依据</w:t>
      </w:r>
      <w:bookmarkEnd w:id="7"/>
      <w:bookmarkEnd w:id="8"/>
      <w:bookmarkEnd w:id="9"/>
      <w:bookmarkEnd w:id="10"/>
    </w:p>
    <w:p>
      <w:pPr>
        <w:pStyle w:val="4"/>
        <w:ind w:firstLine="640"/>
      </w:pPr>
      <w:bookmarkStart w:id="11" w:name="_Toc60738482"/>
      <w:r>
        <w:t>1.2.1法律法规</w:t>
      </w:r>
      <w:bookmarkEnd w:id="11"/>
    </w:p>
    <w:p>
      <w:pPr>
        <w:ind w:firstLine="640"/>
      </w:pPr>
      <w:r>
        <w:t>（1）《中华人民共和国水法》（2016 年修正）</w:t>
      </w:r>
    </w:p>
    <w:p>
      <w:pPr>
        <w:ind w:firstLine="640"/>
      </w:pPr>
      <w:r>
        <w:t>（2）《中华人民共和国防洪法》（2016 年修正）</w:t>
      </w:r>
    </w:p>
    <w:p>
      <w:pPr>
        <w:ind w:firstLine="640"/>
      </w:pPr>
      <w:r>
        <w:t>（3）《中华人民共和国土地管理法》（2019 年修正）</w:t>
      </w:r>
    </w:p>
    <w:p>
      <w:pPr>
        <w:ind w:firstLine="640"/>
      </w:pPr>
      <w:r>
        <w:t>（4）《中华人民共和国河道管理条例》（2018 年修正）</w:t>
      </w:r>
    </w:p>
    <w:p>
      <w:pPr>
        <w:ind w:firstLine="640"/>
      </w:pPr>
      <w:r>
        <w:t>（5）《地图管理条例》（2015 年）</w:t>
      </w:r>
    </w:p>
    <w:p>
      <w:pPr>
        <w:ind w:firstLine="640"/>
      </w:pPr>
      <w:r>
        <w:t>（</w:t>
      </w:r>
      <w:r>
        <w:rPr>
          <w:rFonts w:hint="eastAsia"/>
        </w:rPr>
        <w:t>6</w:t>
      </w:r>
      <w:r>
        <w:t>）《湖南省实施＜中华人民共和国水法＞办法》（2012 年修订）</w:t>
      </w:r>
    </w:p>
    <w:p>
      <w:pPr>
        <w:ind w:firstLine="640"/>
      </w:pPr>
      <w:r>
        <w:t>（</w:t>
      </w:r>
      <w:r>
        <w:rPr>
          <w:rFonts w:hint="eastAsia"/>
        </w:rPr>
        <w:t>7</w:t>
      </w:r>
      <w:r>
        <w:t>）《湖南省实施＜中华人民共和国防洪法＞办法》（2018年修订）</w:t>
      </w:r>
    </w:p>
    <w:p>
      <w:pPr>
        <w:ind w:firstLine="640"/>
      </w:pPr>
      <w:r>
        <w:t>（</w:t>
      </w:r>
      <w:r>
        <w:rPr>
          <w:rFonts w:hint="eastAsia"/>
        </w:rPr>
        <w:t>8</w:t>
      </w:r>
      <w:r>
        <w:t>）《湖南省实施＜中华人民共和国土地管理法＞办法》（2016 年修正本）</w:t>
      </w:r>
    </w:p>
    <w:p>
      <w:pPr>
        <w:ind w:firstLine="640"/>
      </w:pPr>
      <w:r>
        <w:t>1.2.2政策文件</w:t>
      </w:r>
    </w:p>
    <w:p>
      <w:pPr>
        <w:ind w:firstLine="640"/>
      </w:pPr>
      <w:r>
        <w:t>（1）《关于水利水电工程建设用地有关问题的通知》（国土资发[2001]355号）</w:t>
      </w:r>
    </w:p>
    <w:p>
      <w:pPr>
        <w:ind w:firstLine="640"/>
      </w:pPr>
      <w:r>
        <w:t>（2）《水利部关于深化水利改革的意见》（水规计[2014]48号）</w:t>
      </w:r>
    </w:p>
    <w:p>
      <w:pPr>
        <w:ind w:firstLine="640"/>
      </w:pPr>
      <w:r>
        <w:t>（3）《关于加强河湖管理工作的指导意见》（水建管[2014]76号）</w:t>
      </w:r>
    </w:p>
    <w:p>
      <w:pPr>
        <w:ind w:firstLine="640"/>
      </w:pPr>
      <w:r>
        <w:t>（4）《水利部关于开展河湖管理范围和水利工程管理与保护范围划定工作的通知》（水建管[2014]285号）</w:t>
      </w:r>
    </w:p>
    <w:p>
      <w:pPr>
        <w:ind w:firstLine="640"/>
      </w:pPr>
      <w:r>
        <w:t>（5）《关于加快推进水利工程管理与保护范围划定工作的通知》（水运管[2018]339号）</w:t>
      </w:r>
    </w:p>
    <w:p>
      <w:pPr>
        <w:ind w:firstLine="640"/>
      </w:pPr>
      <w:r>
        <w:rPr>
          <w:rFonts w:hint="eastAsia"/>
        </w:rPr>
        <w:t>（6）《关于做好全省水利工程管理与保护范围划定工作的通知》（湘水发[2020]8号）</w:t>
      </w:r>
    </w:p>
    <w:p>
      <w:pPr>
        <w:ind w:firstLine="640"/>
      </w:pPr>
      <w:r>
        <w:rPr>
          <w:rFonts w:hint="eastAsia"/>
        </w:rPr>
        <w:t>（7）《关于加快推进全省水利工程管理与保护范围划定工作的通知》（湘水办函[2020]213号）</w:t>
      </w:r>
    </w:p>
    <w:p>
      <w:pPr>
        <w:ind w:firstLine="640"/>
      </w:pPr>
      <w:r>
        <w:t>1.2.3规程规范</w:t>
      </w:r>
    </w:p>
    <w:p>
      <w:pPr>
        <w:ind w:firstLine="640"/>
      </w:pPr>
      <w:r>
        <w:t>（1）《防洪标准》（GB 50201-2014）</w:t>
      </w:r>
    </w:p>
    <w:p>
      <w:pPr>
        <w:ind w:firstLine="640"/>
      </w:pPr>
      <w:r>
        <w:t>（2）《水库工程管理设计规范》（SL 106-2017）</w:t>
      </w:r>
    </w:p>
    <w:p>
      <w:pPr>
        <w:ind w:firstLine="640"/>
      </w:pPr>
      <w:r>
        <w:t>（3）《水闸设计规范》（SL 265-2016）</w:t>
      </w:r>
    </w:p>
    <w:p>
      <w:pPr>
        <w:ind w:firstLine="640"/>
      </w:pPr>
      <w:r>
        <w:t xml:space="preserve">（4）《堤防工程管理设计规范》（SL </w:t>
      </w:r>
      <w:r>
        <w:rPr>
          <w:rFonts w:hint="eastAsia"/>
        </w:rPr>
        <w:t>/T</w:t>
      </w:r>
      <w:r>
        <w:t>171-</w:t>
      </w:r>
      <w:r>
        <w:rPr>
          <w:rFonts w:hint="eastAsia"/>
        </w:rPr>
        <w:t>2020</w:t>
      </w:r>
      <w:r>
        <w:t>）</w:t>
      </w:r>
    </w:p>
    <w:p>
      <w:pPr>
        <w:ind w:firstLine="640"/>
      </w:pPr>
      <w:r>
        <w:t>（5）《堤防工程设计规范》（GB 50286-20</w:t>
      </w:r>
      <w:r>
        <w:rPr>
          <w:rFonts w:hint="eastAsia"/>
        </w:rPr>
        <w:t>20</w:t>
      </w:r>
      <w:r>
        <w:t>）</w:t>
      </w:r>
    </w:p>
    <w:p>
      <w:pPr>
        <w:ind w:firstLine="640"/>
      </w:pPr>
      <w:r>
        <w:t>（6）《泵站设计规范》（GB/T 50265-2010）</w:t>
      </w:r>
    </w:p>
    <w:p>
      <w:pPr>
        <w:ind w:firstLine="640"/>
      </w:pPr>
      <w:r>
        <w:t>（7）《灌溉与排水工程设计标准》（GB 52088-2018）</w:t>
      </w:r>
    </w:p>
    <w:p>
      <w:pPr>
        <w:ind w:firstLine="640"/>
      </w:pPr>
      <w:r>
        <w:t>（8）《蓄滞洪区设计规范》（GB 50773-2012）</w:t>
      </w:r>
    </w:p>
    <w:p>
      <w:pPr>
        <w:ind w:firstLine="640"/>
      </w:pPr>
      <w:r>
        <w:t>（9）《调水工程设计指南》（SL 430-2008）</w:t>
      </w:r>
    </w:p>
    <w:p>
      <w:pPr>
        <w:ind w:firstLine="640"/>
      </w:pPr>
      <w:r>
        <w:t>（10）《水利水电工程等级划分及洪水标准》（SL 252-2017）</w:t>
      </w:r>
    </w:p>
    <w:p>
      <w:pPr>
        <w:ind w:firstLine="640"/>
      </w:pPr>
      <w:r>
        <w:t>（11）《水利水电工程设计洪水计算规范》（SL 44-2006）</w:t>
      </w:r>
    </w:p>
    <w:p>
      <w:pPr>
        <w:ind w:firstLine="640"/>
      </w:pPr>
      <w:r>
        <w:t>（12）《水利水电工程建设征地移民安置规划设计规范》（SL</w:t>
      </w:r>
      <w:r>
        <w:rPr>
          <w:rFonts w:hint="eastAsia"/>
        </w:rPr>
        <w:t xml:space="preserve"> </w:t>
      </w:r>
      <w:r>
        <w:t>290-2009）</w:t>
      </w:r>
    </w:p>
    <w:p>
      <w:pPr>
        <w:ind w:firstLine="640"/>
      </w:pPr>
      <w:r>
        <w:t>（13）《水利水电工程测量规范》（SL 197-2013）</w:t>
      </w:r>
    </w:p>
    <w:p>
      <w:pPr>
        <w:ind w:firstLine="640"/>
      </w:pPr>
      <w:r>
        <w:t>（1</w:t>
      </w:r>
      <w:r>
        <w:rPr>
          <w:rFonts w:hint="eastAsia"/>
        </w:rPr>
        <w:t>4</w:t>
      </w:r>
      <w:r>
        <w:t>）《1:500 1:1000 1:2000 地形图航空摄影测量内业规范》（GB/T 7930-2008）</w:t>
      </w:r>
    </w:p>
    <w:p>
      <w:pPr>
        <w:ind w:firstLine="640"/>
      </w:pPr>
      <w:r>
        <w:t>（1</w:t>
      </w:r>
      <w:r>
        <w:rPr>
          <w:rFonts w:hint="eastAsia"/>
        </w:rPr>
        <w:t>5</w:t>
      </w:r>
      <w:r>
        <w:t>）《1:500 1:1000 1:2000 地形图航空摄影测量外业规范》（GB／T 7931-2008）</w:t>
      </w:r>
    </w:p>
    <w:p>
      <w:pPr>
        <w:ind w:firstLine="640"/>
      </w:pPr>
      <w:r>
        <w:t>（1</w:t>
      </w:r>
      <w:r>
        <w:rPr>
          <w:rFonts w:hint="eastAsia"/>
        </w:rPr>
        <w:t>6</w:t>
      </w:r>
      <w:r>
        <w:t>）《国家基本比例尺地形图图式第 1 部分：1:500 1:1000 1:2000 地形图图式》（GB/T 20257.1-2017）</w:t>
      </w:r>
    </w:p>
    <w:p>
      <w:pPr>
        <w:ind w:firstLine="640"/>
      </w:pPr>
      <w:r>
        <w:t>（1</w:t>
      </w:r>
      <w:r>
        <w:rPr>
          <w:rFonts w:hint="eastAsia"/>
        </w:rPr>
        <w:t>7</w:t>
      </w:r>
      <w:r>
        <w:t>）《基础地理信息要素分类与代码》（GB/T 13923-2006）</w:t>
      </w:r>
    </w:p>
    <w:p>
      <w:pPr>
        <w:ind w:firstLine="640"/>
      </w:pPr>
      <w:r>
        <w:t>（1</w:t>
      </w:r>
      <w:r>
        <w:rPr>
          <w:rFonts w:hint="eastAsia"/>
        </w:rPr>
        <w:t>8</w:t>
      </w:r>
      <w:r>
        <w:t>）《全球定位系统实时动态测量（RTK）技术规范》（CH/T2009-2010）</w:t>
      </w:r>
    </w:p>
    <w:p>
      <w:pPr>
        <w:ind w:firstLine="640"/>
      </w:pPr>
      <w:r>
        <w:t>（1</w:t>
      </w:r>
      <w:r>
        <w:rPr>
          <w:rFonts w:hint="eastAsia"/>
        </w:rPr>
        <w:t>9</w:t>
      </w:r>
      <w:r>
        <w:t>）《测绘成果质量检查与验收》（GB/T 24356-2009）</w:t>
      </w:r>
    </w:p>
    <w:p>
      <w:pPr>
        <w:ind w:firstLine="640"/>
      </w:pPr>
      <w:r>
        <w:t>（</w:t>
      </w:r>
      <w:r>
        <w:rPr>
          <w:rFonts w:hint="eastAsia"/>
        </w:rPr>
        <w:t>20</w:t>
      </w:r>
      <w:r>
        <w:t>）《湖南省水利工程管理与保护范围划界工作指南</w:t>
      </w:r>
      <w:r>
        <w:rPr>
          <w:rFonts w:hint="eastAsia"/>
        </w:rPr>
        <w:t>（试行）</w:t>
      </w:r>
      <w:r>
        <w:t>》</w:t>
      </w:r>
      <w:r>
        <w:rPr>
          <w:rFonts w:hint="eastAsia"/>
        </w:rPr>
        <w:t>（湘水办函[2020]227号）</w:t>
      </w:r>
    </w:p>
    <w:p>
      <w:pPr>
        <w:pStyle w:val="3"/>
        <w:ind w:firstLine="643"/>
      </w:pPr>
      <w:bookmarkStart w:id="12" w:name="_Toc20554_WPSOffice_Level2"/>
      <w:bookmarkStart w:id="13" w:name="_Toc81993232"/>
      <w:bookmarkStart w:id="14" w:name="_Toc66222763"/>
      <w:r>
        <w:t>1.</w:t>
      </w:r>
      <w:r>
        <w:rPr>
          <w:rFonts w:hint="eastAsia"/>
        </w:rPr>
        <w:t>3</w:t>
      </w:r>
      <w:r>
        <w:t xml:space="preserve"> 划界成果</w:t>
      </w:r>
      <w:bookmarkEnd w:id="12"/>
      <w:bookmarkEnd w:id="13"/>
      <w:bookmarkEnd w:id="14"/>
    </w:p>
    <w:p>
      <w:pPr>
        <w:ind w:firstLine="640"/>
      </w:pPr>
      <w:r>
        <w:rPr>
          <w:rFonts w:hint="eastAsia"/>
        </w:rPr>
        <w:t>城步苗族自治县大中型及重点小型水利工程</w:t>
      </w:r>
      <w:r>
        <w:t>管理与保护范围</w:t>
      </w:r>
      <w:r>
        <w:rPr>
          <w:rFonts w:hint="eastAsia"/>
        </w:rPr>
        <w:t>划定成果主要包括文字报告、数据库、图件和表格成果等，相关成果的坐标系统均采用</w:t>
      </w:r>
      <w:r>
        <w:t>2000</w:t>
      </w:r>
      <w:r>
        <w:rPr>
          <w:rFonts w:hint="eastAsia"/>
        </w:rPr>
        <w:t>国家大地坐</w:t>
      </w:r>
      <w:r>
        <w:t>标</w:t>
      </w:r>
      <w:r>
        <w:rPr>
          <w:rFonts w:hint="eastAsia"/>
        </w:rPr>
        <w:t>系、</w:t>
      </w:r>
      <w:r>
        <w:t>高斯</w:t>
      </w:r>
      <w:r>
        <w:rPr>
          <w:rFonts w:hint="eastAsia"/>
        </w:rPr>
        <w:t>-克</w:t>
      </w:r>
      <w:r>
        <w:t>吕格投影</w:t>
      </w:r>
      <w:r>
        <w:rPr>
          <w:rFonts w:hint="eastAsia"/>
        </w:rPr>
        <w:t>，</w:t>
      </w:r>
      <w:r>
        <w:t>标准</w:t>
      </w:r>
      <w:r>
        <w:rPr>
          <w:rFonts w:hint="eastAsia"/>
        </w:rPr>
        <w:t>3度分</w:t>
      </w:r>
      <w:r>
        <w:t>带，中</w:t>
      </w:r>
      <w:r>
        <w:rPr>
          <w:rFonts w:hint="eastAsia"/>
        </w:rPr>
        <w:t>央</w:t>
      </w:r>
      <w:r>
        <w:t>经线</w:t>
      </w:r>
      <w:r>
        <w:rPr>
          <w:rFonts w:hint="eastAsia"/>
        </w:rPr>
        <w:t>111度</w:t>
      </w:r>
      <w:r>
        <w:t>。</w:t>
      </w:r>
      <w:r>
        <w:rPr>
          <w:rFonts w:hint="eastAsia"/>
        </w:rPr>
        <w:t>主要成果内容如下：</w:t>
      </w:r>
    </w:p>
    <w:p>
      <w:pPr>
        <w:pStyle w:val="4"/>
        <w:ind w:firstLine="640"/>
      </w:pPr>
      <w:bookmarkStart w:id="15" w:name="_Toc60738484"/>
      <w:r>
        <w:rPr>
          <w:rFonts w:hint="eastAsia"/>
        </w:rPr>
        <w:t>1</w:t>
      </w:r>
      <w:r>
        <w:t>.</w:t>
      </w:r>
      <w:r>
        <w:rPr>
          <w:rFonts w:hint="eastAsia"/>
        </w:rPr>
        <w:t>3</w:t>
      </w:r>
      <w:r>
        <w:t xml:space="preserve">.1 </w:t>
      </w:r>
      <w:r>
        <w:rPr>
          <w:rFonts w:hint="eastAsia"/>
        </w:rPr>
        <w:t>文字报告</w:t>
      </w:r>
      <w:bookmarkEnd w:id="15"/>
    </w:p>
    <w:p>
      <w:pPr>
        <w:ind w:firstLine="640"/>
      </w:pPr>
      <w:r>
        <w:rPr>
          <w:rFonts w:hint="eastAsia"/>
        </w:rPr>
        <w:t>《湖南省</w:t>
      </w:r>
      <w:r>
        <w:rPr>
          <w:rFonts w:cs="Times New Roman"/>
          <w:color w:val="000000" w:themeColor="text1"/>
          <w14:textFill>
            <w14:solidFill>
              <w14:schemeClr w14:val="tx1"/>
            </w14:solidFill>
          </w14:textFill>
        </w:rPr>
        <w:t>城步苗族自治</w:t>
      </w:r>
      <w:r>
        <w:t>县</w:t>
      </w:r>
      <w:r>
        <w:rPr>
          <w:rFonts w:hint="eastAsia"/>
        </w:rPr>
        <w:t>大中型及重点小</w:t>
      </w:r>
      <w:r>
        <w:t>型水利工程管理与保护范围</w:t>
      </w:r>
      <w:r>
        <w:rPr>
          <w:rFonts w:hint="eastAsia"/>
        </w:rPr>
        <w:t>划界</w:t>
      </w:r>
      <w:r>
        <w:t>方案</w:t>
      </w:r>
      <w:r>
        <w:rPr>
          <w:rFonts w:hint="eastAsia"/>
        </w:rPr>
        <w:t>》。</w:t>
      </w:r>
    </w:p>
    <w:p>
      <w:pPr>
        <w:pStyle w:val="4"/>
        <w:ind w:firstLine="640"/>
      </w:pPr>
      <w:bookmarkStart w:id="16" w:name="_Toc60738485"/>
      <w:r>
        <w:rPr>
          <w:rFonts w:hint="eastAsia"/>
        </w:rPr>
        <w:t>1</w:t>
      </w:r>
      <w:r>
        <w:t>.</w:t>
      </w:r>
      <w:r>
        <w:rPr>
          <w:rFonts w:hint="eastAsia"/>
        </w:rPr>
        <w:t>3</w:t>
      </w:r>
      <w:r>
        <w:t xml:space="preserve">.2 </w:t>
      </w:r>
      <w:r>
        <w:rPr>
          <w:rFonts w:hint="eastAsia"/>
        </w:rPr>
        <w:t>数据库</w:t>
      </w:r>
      <w:bookmarkEnd w:id="16"/>
    </w:p>
    <w:p>
      <w:pPr>
        <w:ind w:firstLine="640"/>
      </w:pPr>
      <w:r>
        <w:rPr>
          <w:rFonts w:cs="Times New Roman"/>
          <w:color w:val="000000" w:themeColor="text1"/>
          <w14:textFill>
            <w14:solidFill>
              <w14:schemeClr w14:val="tx1"/>
            </w14:solidFill>
          </w14:textFill>
        </w:rPr>
        <w:t>城步苗族自治县</w:t>
      </w:r>
      <w:r>
        <w:rPr>
          <w:rFonts w:hint="eastAsia"/>
        </w:rPr>
        <w:t>中型及重点小型</w:t>
      </w:r>
      <w:r>
        <w:t>水利工程管理与保护范围划界</w:t>
      </w:r>
      <w:r>
        <w:rPr>
          <w:rFonts w:hint="eastAsia"/>
        </w:rPr>
        <w:t>成果数据库，格式为G</w:t>
      </w:r>
      <w:r>
        <w:t>DB</w:t>
      </w:r>
      <w:r>
        <w:rPr>
          <w:rFonts w:hint="eastAsia"/>
        </w:rPr>
        <w:t>。</w:t>
      </w:r>
    </w:p>
    <w:p>
      <w:pPr>
        <w:pStyle w:val="4"/>
        <w:ind w:firstLine="640"/>
      </w:pPr>
      <w:bookmarkStart w:id="17" w:name="_Toc60738486"/>
      <w:r>
        <w:rPr>
          <w:rFonts w:hint="eastAsia"/>
        </w:rPr>
        <w:t>1.3.3 图件成果</w:t>
      </w:r>
      <w:bookmarkEnd w:id="17"/>
    </w:p>
    <w:p>
      <w:pPr>
        <w:ind w:firstLine="640"/>
      </w:pPr>
      <w:r>
        <w:rPr>
          <w:rFonts w:hint="eastAsia"/>
        </w:rPr>
        <w:t>城步苗族自治县8个水库工程管理与保护范围划定成果图25幅。成果图件采用A3分幅，各水利工程划定成果图件依据其空间范围采用1:2000比例尺，成果图件电子格式为PDF。</w:t>
      </w:r>
    </w:p>
    <w:p>
      <w:pPr>
        <w:pStyle w:val="4"/>
        <w:ind w:firstLine="640"/>
      </w:pPr>
      <w:bookmarkStart w:id="18" w:name="_Toc60738487"/>
      <w:r>
        <w:rPr>
          <w:rFonts w:hint="eastAsia"/>
        </w:rPr>
        <w:t>1</w:t>
      </w:r>
      <w:r>
        <w:t xml:space="preserve">.3.4 </w:t>
      </w:r>
      <w:r>
        <w:rPr>
          <w:rFonts w:hint="eastAsia"/>
        </w:rPr>
        <w:t>表格成果</w:t>
      </w:r>
      <w:bookmarkEnd w:id="18"/>
    </w:p>
    <w:p>
      <w:pPr>
        <w:ind w:firstLine="640"/>
      </w:pPr>
      <w:r>
        <w:rPr>
          <w:rFonts w:hint="eastAsia"/>
        </w:rPr>
        <w:t>包括各水利工程管理范围电子界桩成果表、电子告示牌成果表，及保护范围电子界桩成果表、电子告示牌成果表。上述表格记录了各电子界桩、电子告示牌的坐标系统、高程系统、编号、所在位置（地名）、</w:t>
      </w:r>
      <w:r>
        <w:t>x</w:t>
      </w:r>
      <w:r>
        <w:rPr>
          <w:rFonts w:hint="eastAsia"/>
        </w:rPr>
        <w:t>坐标、y坐标及高程等信息，涉及电子界桩589个，电子告示牌16个。</w:t>
      </w:r>
    </w:p>
    <w:p>
      <w:pPr>
        <w:pStyle w:val="4"/>
        <w:ind w:firstLine="640"/>
      </w:pPr>
      <w:bookmarkStart w:id="19" w:name="_Toc60738488"/>
      <w:r>
        <w:rPr>
          <w:rFonts w:hint="eastAsia"/>
        </w:rPr>
        <w:t>1</w:t>
      </w:r>
      <w:r>
        <w:t xml:space="preserve">.3.5 </w:t>
      </w:r>
      <w:r>
        <w:rPr>
          <w:rFonts w:hint="eastAsia"/>
        </w:rPr>
        <w:t>其它成果</w:t>
      </w:r>
      <w:bookmarkEnd w:id="19"/>
    </w:p>
    <w:p>
      <w:pPr>
        <w:ind w:firstLine="640"/>
      </w:pPr>
      <w:r>
        <w:rPr>
          <w:rFonts w:hint="eastAsia"/>
        </w:rPr>
        <w:t>主要包括记录划界工作过程的各类照片资料、收集的各类基础资料等。</w:t>
      </w:r>
    </w:p>
    <w:p>
      <w:pPr>
        <w:pStyle w:val="2"/>
      </w:pPr>
      <w:bookmarkStart w:id="20" w:name="_Toc19898_WPSOffice_Level1"/>
      <w:bookmarkStart w:id="21" w:name="_Toc81993233"/>
      <w:bookmarkStart w:id="22" w:name="_Toc66222764"/>
      <w:r>
        <w:t>2</w:t>
      </w:r>
      <w:r>
        <w:rPr>
          <w:rFonts w:hint="eastAsia"/>
        </w:rPr>
        <w:t xml:space="preserve"> </w:t>
      </w:r>
      <w:r>
        <w:t>水利工程基本情况</w:t>
      </w:r>
      <w:bookmarkEnd w:id="20"/>
      <w:bookmarkEnd w:id="21"/>
      <w:bookmarkEnd w:id="22"/>
    </w:p>
    <w:p>
      <w:pPr>
        <w:pStyle w:val="3"/>
        <w:ind w:firstLine="643"/>
      </w:pPr>
      <w:bookmarkStart w:id="23" w:name="_Toc81993234"/>
      <w:bookmarkStart w:id="24" w:name="_Toc66222765"/>
      <w:bookmarkStart w:id="25" w:name="_Toc28871_WPSOffice_Level2"/>
      <w:r>
        <w:t>2.1</w:t>
      </w:r>
      <w:r>
        <w:rPr>
          <w:rFonts w:hint="eastAsia"/>
        </w:rPr>
        <w:t xml:space="preserve"> </w:t>
      </w:r>
      <w:r>
        <w:t>水利工程分布情况</w:t>
      </w:r>
      <w:bookmarkEnd w:id="23"/>
      <w:bookmarkEnd w:id="24"/>
      <w:bookmarkEnd w:id="25"/>
    </w:p>
    <w:p>
      <w:pPr>
        <w:ind w:firstLine="640"/>
        <w:sectPr>
          <w:footerReference r:id="rId9" w:type="default"/>
          <w:pgSz w:w="11906" w:h="16838"/>
          <w:pgMar w:top="1871" w:right="1474" w:bottom="1701" w:left="1474" w:header="851" w:footer="1361" w:gutter="0"/>
          <w:pgNumType w:start="1"/>
          <w:cols w:space="425" w:num="1"/>
          <w:docGrid w:type="lines" w:linePitch="312" w:charSpace="0"/>
        </w:sectPr>
      </w:pPr>
      <w:r>
        <w:rPr>
          <w:rFonts w:hint="eastAsia"/>
        </w:rPr>
        <w:t>全县小（1）型水库管理与保护范围划定对象涉及温井、毛坪等8座水库。总体情况如表2-1所示，总体分布图如图2-1所示。</w:t>
      </w:r>
    </w:p>
    <w:p>
      <w:pPr>
        <w:pStyle w:val="58"/>
        <w:spacing w:line="360" w:lineRule="auto"/>
      </w:pPr>
      <w:r>
        <w:rPr>
          <w:rFonts w:hint="eastAsia"/>
        </w:rPr>
        <w:drawing>
          <wp:inline distT="0" distB="0" distL="114300" distR="114300">
            <wp:extent cx="5047615" cy="7139305"/>
            <wp:effectExtent l="0" t="0" r="635" b="4445"/>
            <wp:docPr id="3" name="图片 3" descr="城步水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城步水系图"/>
                    <pic:cNvPicPr>
                      <a:picLocks noChangeAspect="1"/>
                    </pic:cNvPicPr>
                  </pic:nvPicPr>
                  <pic:blipFill>
                    <a:blip r:embed="rId14"/>
                    <a:stretch>
                      <a:fillRect/>
                    </a:stretch>
                  </pic:blipFill>
                  <pic:spPr>
                    <a:xfrm>
                      <a:off x="0" y="0"/>
                      <a:ext cx="5047615" cy="7139305"/>
                    </a:xfrm>
                    <a:prstGeom prst="rect">
                      <a:avLst/>
                    </a:prstGeom>
                  </pic:spPr>
                </pic:pic>
              </a:graphicData>
            </a:graphic>
          </wp:inline>
        </w:drawing>
      </w:r>
    </w:p>
    <w:p>
      <w:pPr>
        <w:pStyle w:val="58"/>
        <w:spacing w:line="360" w:lineRule="auto"/>
        <w:sectPr>
          <w:pgSz w:w="11906" w:h="16838"/>
          <w:pgMar w:top="1871" w:right="1474" w:bottom="1701" w:left="1474" w:header="851" w:footer="1361" w:gutter="0"/>
          <w:cols w:space="425" w:num="1"/>
          <w:docGrid w:type="lines" w:linePitch="435" w:charSpace="0"/>
        </w:sectPr>
      </w:pPr>
      <w:r>
        <w:t xml:space="preserve">图2-1 </w:t>
      </w:r>
      <w:r>
        <w:rPr>
          <w:rFonts w:hint="eastAsia"/>
        </w:rPr>
        <w:t>城步苗族自治</w:t>
      </w:r>
      <w:r>
        <w:t>县水利工程总体分布</w:t>
      </w:r>
      <w:r>
        <w:rPr>
          <w:rFonts w:hint="eastAsia"/>
        </w:rPr>
        <w:t>示意</w:t>
      </w:r>
      <w:r>
        <w:t>图</w:t>
      </w:r>
    </w:p>
    <w:p>
      <w:pPr>
        <w:pStyle w:val="58"/>
        <w:ind w:firstLine="422"/>
      </w:pPr>
      <w:r>
        <w:t xml:space="preserve">表2-1 </w:t>
      </w:r>
      <w:r>
        <w:rPr>
          <w:rFonts w:hint="eastAsia"/>
        </w:rPr>
        <w:t>城步苗族自治县县水利工程总体情况</w:t>
      </w:r>
      <w:r>
        <w:t>表</w:t>
      </w:r>
    </w:p>
    <w:tbl>
      <w:tblPr>
        <w:tblStyle w:val="30"/>
        <w:tblW w:w="9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0"/>
        <w:gridCol w:w="1911"/>
        <w:gridCol w:w="1087"/>
        <w:gridCol w:w="1594"/>
        <w:gridCol w:w="1762"/>
        <w:gridCol w:w="13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430" w:type="dxa"/>
            <w:shd w:val="clear" w:color="auto" w:fill="auto"/>
            <w:vAlign w:val="center"/>
          </w:tcPr>
          <w:p>
            <w:pPr>
              <w:pStyle w:val="58"/>
            </w:pPr>
            <w:r>
              <w:t>市州</w:t>
            </w:r>
          </w:p>
        </w:tc>
        <w:tc>
          <w:tcPr>
            <w:tcW w:w="1911" w:type="dxa"/>
            <w:shd w:val="clear" w:color="auto" w:fill="auto"/>
            <w:vAlign w:val="center"/>
          </w:tcPr>
          <w:p>
            <w:pPr>
              <w:pStyle w:val="58"/>
            </w:pPr>
            <w:r>
              <w:t>县市区</w:t>
            </w:r>
          </w:p>
        </w:tc>
        <w:tc>
          <w:tcPr>
            <w:tcW w:w="5833" w:type="dxa"/>
            <w:gridSpan w:val="4"/>
            <w:shd w:val="clear" w:color="auto" w:fill="auto"/>
            <w:vAlign w:val="center"/>
          </w:tcPr>
          <w:p>
            <w:pPr>
              <w:pStyle w:val="58"/>
            </w:pPr>
            <w:r>
              <w:t>水利工程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430" w:type="dxa"/>
            <w:vMerge w:val="restart"/>
            <w:shd w:val="clear" w:color="auto" w:fill="auto"/>
            <w:vAlign w:val="center"/>
          </w:tcPr>
          <w:p>
            <w:pPr>
              <w:pStyle w:val="37"/>
              <w:rPr>
                <w:szCs w:val="21"/>
              </w:rPr>
            </w:pPr>
            <w:r>
              <w:rPr>
                <w:rFonts w:hint="eastAsia"/>
              </w:rPr>
              <w:t>邵阳</w:t>
            </w:r>
            <w:r>
              <w:t>市</w:t>
            </w:r>
          </w:p>
        </w:tc>
        <w:tc>
          <w:tcPr>
            <w:tcW w:w="1911" w:type="dxa"/>
            <w:vMerge w:val="restart"/>
            <w:shd w:val="clear" w:color="auto" w:fill="auto"/>
            <w:vAlign w:val="center"/>
          </w:tcPr>
          <w:p>
            <w:pPr>
              <w:pStyle w:val="37"/>
              <w:rPr>
                <w:szCs w:val="21"/>
              </w:rPr>
            </w:pPr>
            <w:r>
              <w:rPr>
                <w:rFonts w:hint="eastAsia"/>
              </w:rPr>
              <w:t>城步苗族自治</w:t>
            </w:r>
            <w:r>
              <w:t>县</w:t>
            </w:r>
          </w:p>
        </w:tc>
        <w:tc>
          <w:tcPr>
            <w:tcW w:w="5833" w:type="dxa"/>
            <w:gridSpan w:val="4"/>
            <w:shd w:val="clear" w:color="auto" w:fill="auto"/>
            <w:vAlign w:val="center"/>
          </w:tcPr>
          <w:p>
            <w:pPr>
              <w:pStyle w:val="37"/>
            </w:pPr>
            <w:r>
              <w:t>水库（座）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430" w:type="dxa"/>
            <w:vMerge w:val="continue"/>
            <w:vAlign w:val="center"/>
          </w:tcPr>
          <w:p>
            <w:pPr>
              <w:pStyle w:val="37"/>
            </w:pPr>
          </w:p>
        </w:tc>
        <w:tc>
          <w:tcPr>
            <w:tcW w:w="1911" w:type="dxa"/>
            <w:vMerge w:val="continue"/>
            <w:vAlign w:val="center"/>
          </w:tcPr>
          <w:p>
            <w:pPr>
              <w:pStyle w:val="37"/>
            </w:pPr>
          </w:p>
        </w:tc>
        <w:tc>
          <w:tcPr>
            <w:tcW w:w="1087" w:type="dxa"/>
            <w:shd w:val="clear" w:color="auto" w:fill="auto"/>
            <w:vAlign w:val="center"/>
          </w:tcPr>
          <w:p>
            <w:pPr>
              <w:pStyle w:val="37"/>
            </w:pPr>
            <w:r>
              <w:t>小计</w:t>
            </w:r>
          </w:p>
        </w:tc>
        <w:tc>
          <w:tcPr>
            <w:tcW w:w="1594" w:type="dxa"/>
            <w:shd w:val="clear" w:color="auto" w:fill="auto"/>
            <w:vAlign w:val="center"/>
          </w:tcPr>
          <w:p>
            <w:pPr>
              <w:pStyle w:val="37"/>
            </w:pPr>
            <w:r>
              <w:t>大型</w:t>
            </w:r>
          </w:p>
        </w:tc>
        <w:tc>
          <w:tcPr>
            <w:tcW w:w="1762" w:type="dxa"/>
            <w:shd w:val="clear" w:color="auto" w:fill="auto"/>
            <w:vAlign w:val="center"/>
          </w:tcPr>
          <w:p>
            <w:pPr>
              <w:pStyle w:val="37"/>
            </w:pPr>
            <w:r>
              <w:t>中型</w:t>
            </w:r>
          </w:p>
        </w:tc>
        <w:tc>
          <w:tcPr>
            <w:tcW w:w="1390" w:type="dxa"/>
            <w:shd w:val="clear" w:color="auto" w:fill="auto"/>
            <w:vAlign w:val="center"/>
          </w:tcPr>
          <w:p>
            <w:pPr>
              <w:pStyle w:val="37"/>
            </w:pPr>
            <w:r>
              <w:t>小（1）型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430" w:type="dxa"/>
            <w:vMerge w:val="continue"/>
            <w:vAlign w:val="center"/>
          </w:tcPr>
          <w:p>
            <w:pPr>
              <w:pStyle w:val="37"/>
            </w:pPr>
          </w:p>
        </w:tc>
        <w:tc>
          <w:tcPr>
            <w:tcW w:w="1911" w:type="dxa"/>
            <w:vMerge w:val="continue"/>
            <w:vAlign w:val="center"/>
          </w:tcPr>
          <w:p>
            <w:pPr>
              <w:pStyle w:val="37"/>
            </w:pPr>
          </w:p>
        </w:tc>
        <w:tc>
          <w:tcPr>
            <w:tcW w:w="1087" w:type="dxa"/>
            <w:vAlign w:val="center"/>
          </w:tcPr>
          <w:p>
            <w:pPr>
              <w:pStyle w:val="37"/>
            </w:pPr>
            <w:r>
              <w:rPr>
                <w:rFonts w:hint="eastAsia"/>
              </w:rPr>
              <w:t>8</w:t>
            </w:r>
          </w:p>
        </w:tc>
        <w:tc>
          <w:tcPr>
            <w:tcW w:w="1594" w:type="dxa"/>
            <w:vAlign w:val="center"/>
          </w:tcPr>
          <w:p>
            <w:pPr>
              <w:pStyle w:val="37"/>
            </w:pPr>
            <w:r>
              <w:rPr>
                <w:rFonts w:hint="eastAsia"/>
              </w:rPr>
              <w:t>0</w:t>
            </w:r>
          </w:p>
        </w:tc>
        <w:tc>
          <w:tcPr>
            <w:tcW w:w="1762" w:type="dxa"/>
            <w:vAlign w:val="center"/>
          </w:tcPr>
          <w:p>
            <w:pPr>
              <w:pStyle w:val="37"/>
            </w:pPr>
            <w:r>
              <w:rPr>
                <w:rFonts w:hint="eastAsia"/>
              </w:rPr>
              <w:t>0</w:t>
            </w:r>
          </w:p>
        </w:tc>
        <w:tc>
          <w:tcPr>
            <w:tcW w:w="1390" w:type="dxa"/>
            <w:vAlign w:val="center"/>
          </w:tcPr>
          <w:p>
            <w:pPr>
              <w:pStyle w:val="37"/>
            </w:pPr>
            <w:r>
              <w:rPr>
                <w:rFonts w:hint="eastAsia"/>
              </w:rPr>
              <w:t>8</w:t>
            </w:r>
          </w:p>
        </w:tc>
      </w:tr>
    </w:tbl>
    <w:p>
      <w:pPr>
        <w:widowControl/>
        <w:spacing w:line="600" w:lineRule="exact"/>
        <w:ind w:firstLine="640"/>
        <w:rPr>
          <w:rFonts w:cs="Times New Roman"/>
          <w:sz w:val="28"/>
          <w:szCs w:val="28"/>
        </w:rPr>
        <w:sectPr>
          <w:pgSz w:w="11906" w:h="16838"/>
          <w:pgMar w:top="1871" w:right="1474" w:bottom="1701" w:left="1474" w:header="851" w:footer="1361" w:gutter="0"/>
          <w:cols w:space="425" w:num="1"/>
          <w:docGrid w:type="lines" w:linePitch="312" w:charSpace="0"/>
        </w:sectPr>
      </w:pPr>
      <w:r>
        <w:rPr>
          <w:rFonts w:cs="Times New Roman"/>
          <w:color w:val="000000" w:themeColor="text1"/>
          <w14:textFill>
            <w14:solidFill>
              <w14:schemeClr w14:val="tx1"/>
            </w14:solidFill>
          </w14:textFill>
        </w:rPr>
        <w:t>城步苗族自治县</w:t>
      </w:r>
      <w:r>
        <w:rPr>
          <w:rFonts w:hint="eastAsia"/>
        </w:rPr>
        <w:t>此次划界对象总体分布呈现两个特征：一是覆盖范围较广，各水利工程空间位置共涉及4</w:t>
      </w:r>
      <w:r>
        <w:t>个乡镇（街道）；</w:t>
      </w:r>
      <w:r>
        <w:rPr>
          <w:rFonts w:hint="eastAsia"/>
        </w:rPr>
        <w:t>二是南部、北部差异明显，水库、灌区、主要集中于东北部地区的上金紫乡和西岩镇等乡镇。水利工程空间位置分布情况如图2</w:t>
      </w:r>
      <w:r>
        <w:t>-</w:t>
      </w:r>
      <w:r>
        <w:rPr>
          <w:rFonts w:hint="eastAsia"/>
        </w:rPr>
        <w:t>2所示</w:t>
      </w:r>
      <w:r>
        <w:rPr>
          <w:rFonts w:hint="eastAsia" w:cs="Times New Roman"/>
          <w:sz w:val="28"/>
          <w:szCs w:val="28"/>
        </w:rPr>
        <w:t>。</w:t>
      </w:r>
    </w:p>
    <w:p>
      <w:pPr>
        <w:widowControl/>
        <w:spacing w:line="360" w:lineRule="auto"/>
        <w:ind w:firstLine="0" w:firstLineChars="0"/>
        <w:jc w:val="center"/>
        <w:rPr>
          <w:rFonts w:eastAsia="黑体" w:cs="Times New Roman"/>
          <w:b/>
          <w:sz w:val="21"/>
          <w:szCs w:val="24"/>
        </w:rPr>
      </w:pPr>
      <w:r>
        <w:rPr>
          <w:rFonts w:hint="eastAsia" w:eastAsia="黑体" w:cs="Times New Roman"/>
          <w:b/>
          <w:sz w:val="21"/>
          <w:szCs w:val="24"/>
        </w:rPr>
        <w:drawing>
          <wp:inline distT="0" distB="0" distL="114300" distR="114300">
            <wp:extent cx="5431790" cy="7682230"/>
            <wp:effectExtent l="0" t="0" r="16510" b="13970"/>
            <wp:docPr id="23" name="图片 23" descr="城步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城步示意图"/>
                    <pic:cNvPicPr>
                      <a:picLocks noChangeAspect="1"/>
                    </pic:cNvPicPr>
                  </pic:nvPicPr>
                  <pic:blipFill>
                    <a:blip r:embed="rId15"/>
                    <a:stretch>
                      <a:fillRect/>
                    </a:stretch>
                  </pic:blipFill>
                  <pic:spPr>
                    <a:xfrm>
                      <a:off x="0" y="0"/>
                      <a:ext cx="5431790" cy="7682230"/>
                    </a:xfrm>
                    <a:prstGeom prst="rect">
                      <a:avLst/>
                    </a:prstGeom>
                  </pic:spPr>
                </pic:pic>
              </a:graphicData>
            </a:graphic>
          </wp:inline>
        </w:drawing>
      </w:r>
    </w:p>
    <w:p>
      <w:pPr>
        <w:widowControl/>
        <w:spacing w:line="360" w:lineRule="auto"/>
        <w:ind w:firstLine="0" w:firstLineChars="0"/>
        <w:jc w:val="center"/>
        <w:rPr>
          <w:rFonts w:eastAsia="黑体" w:cs="Times New Roman"/>
          <w:b/>
          <w:sz w:val="21"/>
          <w:szCs w:val="24"/>
        </w:rPr>
        <w:sectPr>
          <w:pgSz w:w="11906" w:h="16838"/>
          <w:pgMar w:top="1871" w:right="1474" w:bottom="1701" w:left="1474" w:header="851" w:footer="1361" w:gutter="0"/>
          <w:cols w:space="425" w:num="1"/>
          <w:docGrid w:type="lines" w:linePitch="435" w:charSpace="0"/>
        </w:sectPr>
      </w:pPr>
      <w:r>
        <w:rPr>
          <w:rFonts w:eastAsia="黑体" w:cs="Times New Roman"/>
          <w:b/>
          <w:sz w:val="21"/>
          <w:szCs w:val="24"/>
        </w:rPr>
        <w:t>图2-2</w:t>
      </w:r>
      <w:r>
        <w:rPr>
          <w:rFonts w:hint="eastAsia" w:eastAsia="黑体" w:cs="Times New Roman"/>
          <w:b/>
          <w:sz w:val="21"/>
          <w:szCs w:val="24"/>
        </w:rPr>
        <w:t xml:space="preserve"> 城步苗族自治县水利工程</w:t>
      </w:r>
      <w:r>
        <w:rPr>
          <w:rFonts w:eastAsia="黑体" w:cs="Times New Roman"/>
          <w:b/>
          <w:sz w:val="21"/>
          <w:szCs w:val="24"/>
        </w:rPr>
        <w:t>空间位置分布示意</w:t>
      </w:r>
      <w:r>
        <w:rPr>
          <w:rFonts w:hint="eastAsia" w:eastAsia="黑体" w:cs="Times New Roman"/>
          <w:b/>
          <w:sz w:val="21"/>
          <w:szCs w:val="24"/>
        </w:rPr>
        <w:t>图</w:t>
      </w:r>
    </w:p>
    <w:p>
      <w:pPr>
        <w:pStyle w:val="3"/>
        <w:ind w:firstLine="643"/>
      </w:pPr>
      <w:bookmarkStart w:id="26" w:name="_Toc60738491"/>
      <w:bookmarkStart w:id="27" w:name="_Toc81993235"/>
      <w:r>
        <w:t>2.</w:t>
      </w:r>
      <w:r>
        <w:rPr>
          <w:rFonts w:hint="eastAsia"/>
        </w:rPr>
        <w:t>2 水库基本信息</w:t>
      </w:r>
      <w:bookmarkEnd w:id="26"/>
      <w:bookmarkEnd w:id="27"/>
    </w:p>
    <w:p>
      <w:pPr>
        <w:ind w:firstLine="640"/>
      </w:pPr>
      <w:r>
        <w:t>1</w:t>
      </w:r>
      <w:r>
        <w:rPr>
          <w:rFonts w:hint="eastAsia"/>
        </w:rPr>
        <w:t>.温井水库</w:t>
      </w:r>
    </w:p>
    <w:p>
      <w:pPr>
        <w:ind w:firstLine="640"/>
        <w:rPr>
          <w:color w:val="000000" w:themeColor="text1"/>
          <w:lang w:val="en-IE"/>
          <w14:textFill>
            <w14:solidFill>
              <w14:schemeClr w14:val="tx1"/>
            </w14:solidFill>
          </w14:textFill>
        </w:rPr>
      </w:pPr>
      <w:r>
        <w:rPr>
          <w:rFonts w:hint="eastAsia"/>
          <w:color w:val="000000" w:themeColor="text1"/>
          <w:lang w:val="en-IE"/>
          <w14:textFill>
            <w14:solidFill>
              <w14:schemeClr w14:val="tx1"/>
            </w14:solidFill>
          </w14:textFill>
        </w:rPr>
        <w:t>城步县温井水库</w:t>
      </w:r>
      <w:r>
        <w:rPr>
          <w:rFonts w:hint="eastAsia"/>
          <w:color w:val="000000" w:themeColor="text1"/>
          <w14:textFill>
            <w14:solidFill>
              <w14:schemeClr w14:val="tx1"/>
            </w14:solidFill>
          </w14:textFill>
        </w:rPr>
        <w:t>注册登记编号43052940006-A4，</w:t>
      </w:r>
      <w:r>
        <w:rPr>
          <w:rFonts w:hint="eastAsia"/>
          <w:color w:val="000000" w:themeColor="text1"/>
          <w:lang w:val="en-IE"/>
          <w14:textFill>
            <w14:solidFill>
              <w14:schemeClr w14:val="tx1"/>
            </w14:solidFill>
          </w14:textFill>
        </w:rPr>
        <w:t>位于城步县金紫乡责任区，距城步县城50km，属资水支流岩里水上游。控制流域面积0.82km</w:t>
      </w:r>
      <w:r>
        <w:rPr>
          <w:rFonts w:hint="eastAsia"/>
          <w:color w:val="000000" w:themeColor="text1"/>
          <w:vertAlign w:val="superscript"/>
          <w:lang w:val="en-IE"/>
          <w14:textFill>
            <w14:solidFill>
              <w14:schemeClr w14:val="tx1"/>
            </w14:solidFill>
          </w14:textFill>
        </w:rPr>
        <w:t>2</w:t>
      </w:r>
      <w:r>
        <w:rPr>
          <w:rFonts w:hint="eastAsia"/>
          <w:color w:val="000000" w:themeColor="text1"/>
          <w:lang w:val="en-IE"/>
          <w14:textFill>
            <w14:solidFill>
              <w14:schemeClr w14:val="tx1"/>
            </w14:solidFill>
          </w14:textFill>
        </w:rPr>
        <w:t>（外引7km</w:t>
      </w:r>
      <w:r>
        <w:rPr>
          <w:rFonts w:hint="eastAsia"/>
          <w:color w:val="000000" w:themeColor="text1"/>
          <w:vertAlign w:val="superscript"/>
          <w:lang w:val="en-IE"/>
          <w14:textFill>
            <w14:solidFill>
              <w14:schemeClr w14:val="tx1"/>
            </w14:solidFill>
          </w14:textFill>
        </w:rPr>
        <w:t>2</w:t>
      </w:r>
      <w:r>
        <w:rPr>
          <w:rFonts w:hint="eastAsia"/>
          <w:color w:val="000000" w:themeColor="text1"/>
          <w:lang w:val="en-IE"/>
          <w14:textFill>
            <w14:solidFill>
              <w14:schemeClr w14:val="tx1"/>
            </w14:solidFill>
          </w14:textFill>
        </w:rPr>
        <w:t>），多年平均降雨量1554mm。水库枢纽工程主要由大坝、引水坝、引水渠、压力管道及电站厂房等建筑物组成，是一座以灌溉为主，兼有发电等综合效益的小（1）型水利工程。</w:t>
      </w:r>
    </w:p>
    <w:p>
      <w:pPr>
        <w:ind w:firstLine="640"/>
        <w:rPr>
          <w:color w:val="000000" w:themeColor="text1"/>
          <w:lang w:val="en-IE"/>
          <w14:textFill>
            <w14:solidFill>
              <w14:schemeClr w14:val="tx1"/>
            </w14:solidFill>
          </w14:textFill>
        </w:rPr>
      </w:pPr>
      <w:r>
        <w:rPr>
          <w:rFonts w:hint="eastAsia"/>
          <w:color w:val="000000" w:themeColor="text1"/>
          <w14:textFill>
            <w14:solidFill>
              <w14:schemeClr w14:val="tx1"/>
            </w14:solidFill>
          </w14:textFill>
        </w:rPr>
        <w:t>水库</w:t>
      </w:r>
      <w:r>
        <w:rPr>
          <w:rFonts w:hint="eastAsia"/>
          <w:color w:val="000000" w:themeColor="text1"/>
          <w:lang w:val="en-IE"/>
          <w14:textFill>
            <w14:solidFill>
              <w14:schemeClr w14:val="tx1"/>
            </w14:solidFill>
          </w14:textFill>
        </w:rPr>
        <w:t>总库容201.77万m</w:t>
      </w:r>
      <w:r>
        <w:rPr>
          <w:rFonts w:hint="eastAsia"/>
          <w:color w:val="000000" w:themeColor="text1"/>
          <w:vertAlign w:val="superscript"/>
          <w:lang w:val="en-IE"/>
          <w14:textFill>
            <w14:solidFill>
              <w14:schemeClr w14:val="tx1"/>
            </w14:solidFill>
          </w14:textFill>
        </w:rPr>
        <w:t>3</w:t>
      </w:r>
      <w:r>
        <w:rPr>
          <w:rFonts w:hint="eastAsia"/>
          <w:color w:val="000000" w:themeColor="text1"/>
          <w:lang w:val="en-IE"/>
          <w14:textFill>
            <w14:solidFill>
              <w14:schemeClr w14:val="tx1"/>
            </w14:solidFill>
          </w14:textFill>
        </w:rPr>
        <w:t>，正常库容194.25万m</w:t>
      </w:r>
      <w:r>
        <w:rPr>
          <w:rFonts w:hint="eastAsia"/>
          <w:color w:val="000000" w:themeColor="text1"/>
          <w:vertAlign w:val="superscript"/>
          <w:lang w:val="en-IE"/>
          <w14:textFill>
            <w14:solidFill>
              <w14:schemeClr w14:val="tx1"/>
            </w14:solidFill>
          </w14:textFill>
        </w:rPr>
        <w:t>3</w:t>
      </w:r>
      <w:r>
        <w:rPr>
          <w:rFonts w:hint="eastAsia"/>
          <w:color w:val="000000" w:themeColor="text1"/>
          <w:lang w:val="en-IE"/>
          <w14:textFill>
            <w14:solidFill>
              <w14:schemeClr w14:val="tx1"/>
            </w14:solidFill>
          </w14:textFill>
        </w:rPr>
        <w:t>，死库容20万m</w:t>
      </w:r>
      <w:r>
        <w:rPr>
          <w:rFonts w:hint="eastAsia"/>
          <w:color w:val="000000" w:themeColor="text1"/>
          <w:vertAlign w:val="superscript"/>
          <w:lang w:val="en-IE"/>
          <w14:textFill>
            <w14:solidFill>
              <w14:schemeClr w14:val="tx1"/>
            </w14:solidFill>
          </w14:textFill>
        </w:rPr>
        <w:t>3</w:t>
      </w:r>
      <w:r>
        <w:rPr>
          <w:rFonts w:hint="eastAsia"/>
          <w:color w:val="000000" w:themeColor="text1"/>
          <w:lang w:val="en-IE"/>
          <w14:textFill>
            <w14:solidFill>
              <w14:schemeClr w14:val="tx1"/>
            </w14:solidFill>
          </w14:textFill>
        </w:rPr>
        <w:t>。</w:t>
      </w:r>
    </w:p>
    <w:p>
      <w:pPr>
        <w:ind w:firstLine="640"/>
        <w:rPr>
          <w:color w:val="000000" w:themeColor="text1"/>
          <w:lang w:val="en-IE"/>
          <w14:textFill>
            <w14:solidFill>
              <w14:schemeClr w14:val="tx1"/>
            </w14:solidFill>
          </w14:textFill>
        </w:rPr>
      </w:pPr>
      <w:r>
        <w:rPr>
          <w:rFonts w:hint="eastAsia"/>
          <w:color w:val="000000" w:themeColor="text1"/>
          <w:lang w:val="en-IE"/>
          <w14:textFill>
            <w14:solidFill>
              <w14:schemeClr w14:val="tx1"/>
            </w14:solidFill>
          </w14:textFill>
        </w:rPr>
        <w:t>水库保护范围有下游三塘村、江南村、星火村、石头村、白水村、水清村、高寨村、城步二中、七星坪农场及周边地区3000亩耕地，3万多人民的生命财产安全，地理位置十分重要。</w:t>
      </w:r>
    </w:p>
    <w:p>
      <w:pPr>
        <w:ind w:firstLine="640"/>
      </w:pPr>
      <w:r>
        <w:rPr>
          <w:rFonts w:hint="eastAsia"/>
        </w:rPr>
        <w:t>2.毛坪水库</w:t>
      </w:r>
    </w:p>
    <w:p>
      <w:pPr>
        <w:ind w:firstLine="640"/>
        <w:rPr>
          <w:color w:val="000000" w:themeColor="text1"/>
          <w:lang w:val="en-IE"/>
          <w14:textFill>
            <w14:solidFill>
              <w14:schemeClr w14:val="tx1"/>
            </w14:solidFill>
          </w14:textFill>
        </w:rPr>
      </w:pPr>
      <w:r>
        <w:rPr>
          <w:rFonts w:hint="eastAsia"/>
          <w:color w:val="000000" w:themeColor="text1"/>
          <w:lang w:val="en-IE"/>
          <w14:textFill>
            <w14:solidFill>
              <w14:schemeClr w14:val="tx1"/>
            </w14:solidFill>
          </w14:textFill>
        </w:rPr>
        <w:t>毛坪水库</w:t>
      </w:r>
      <w:r>
        <w:rPr>
          <w:rFonts w:hint="eastAsia"/>
          <w:color w:val="000000" w:themeColor="text1"/>
          <w14:textFill>
            <w14:solidFill>
              <w14:schemeClr w14:val="tx1"/>
            </w14:solidFill>
          </w14:textFill>
        </w:rPr>
        <w:t>注册登记编号43052940007-A4，</w:t>
      </w:r>
      <w:r>
        <w:rPr>
          <w:rFonts w:hint="eastAsia"/>
          <w:color w:val="000000" w:themeColor="text1"/>
          <w:lang w:val="en-IE"/>
          <w14:textFill>
            <w14:solidFill>
              <w14:schemeClr w14:val="tx1"/>
            </w14:solidFill>
          </w14:textFill>
        </w:rPr>
        <w:t>位于西江流域浔江水系平等河支流伟江上游，坝址座落在城步县南山牧场境内。该水库距城步县城区80</w:t>
      </w:r>
      <w:r>
        <w:rPr>
          <w:rFonts w:hint="eastAsia"/>
          <w:color w:val="000000" w:themeColor="text1"/>
          <w14:textFill>
            <w14:solidFill>
              <w14:schemeClr w14:val="tx1"/>
            </w14:solidFill>
          </w14:textFill>
        </w:rPr>
        <w:t>km</w:t>
      </w:r>
      <w:r>
        <w:rPr>
          <w:rFonts w:hint="eastAsia"/>
          <w:color w:val="000000" w:themeColor="text1"/>
          <w:lang w:val="en-IE"/>
          <w14:textFill>
            <w14:solidFill>
              <w14:schemeClr w14:val="tx1"/>
            </w14:solidFill>
          </w14:textFill>
        </w:rPr>
        <w:t>，有公路从主、副坝顶通过，坝址控制集雨面积14.2km</w:t>
      </w:r>
      <w:r>
        <w:rPr>
          <w:rFonts w:hint="eastAsia"/>
          <w:color w:val="000000" w:themeColor="text1"/>
          <w:vertAlign w:val="superscript"/>
          <w:lang w:val="en-IE"/>
          <w14:textFill>
            <w14:solidFill>
              <w14:schemeClr w14:val="tx1"/>
            </w14:solidFill>
          </w14:textFill>
        </w:rPr>
        <w:t>2</w:t>
      </w:r>
      <w:r>
        <w:rPr>
          <w:rFonts w:hint="eastAsia"/>
          <w:color w:val="000000" w:themeColor="text1"/>
          <w:lang w:val="en-IE"/>
          <w14:textFill>
            <w14:solidFill>
              <w14:schemeClr w14:val="tx1"/>
            </w14:solidFill>
          </w14:textFill>
        </w:rPr>
        <w:t>，</w:t>
      </w:r>
      <w:r>
        <w:rPr>
          <w:rFonts w:hint="eastAsia"/>
          <w:color w:val="000000" w:themeColor="text1"/>
          <w14:textFill>
            <w14:solidFill>
              <w14:schemeClr w14:val="tx1"/>
            </w14:solidFill>
          </w14:textFill>
        </w:rPr>
        <w:t>水库</w:t>
      </w:r>
      <w:r>
        <w:rPr>
          <w:rFonts w:hint="eastAsia"/>
          <w:color w:val="000000" w:themeColor="text1"/>
          <w:lang w:val="en-IE"/>
          <w14:textFill>
            <w14:solidFill>
              <w14:schemeClr w14:val="tx1"/>
            </w14:solidFill>
          </w14:textFill>
        </w:rPr>
        <w:t>正常库容145万m</w:t>
      </w:r>
      <w:r>
        <w:rPr>
          <w:rFonts w:hint="eastAsia"/>
          <w:color w:val="000000" w:themeColor="text1"/>
          <w:vertAlign w:val="superscript"/>
          <w:lang w:val="en-IE"/>
          <w14:textFill>
            <w14:solidFill>
              <w14:schemeClr w14:val="tx1"/>
            </w14:solidFill>
          </w14:textFill>
        </w:rPr>
        <w:t>3</w:t>
      </w:r>
      <w:r>
        <w:rPr>
          <w:rFonts w:hint="eastAsia"/>
          <w:color w:val="000000" w:themeColor="text1"/>
          <w:lang w:val="en-IE"/>
          <w14:textFill>
            <w14:solidFill>
              <w14:schemeClr w14:val="tx1"/>
            </w14:solidFill>
          </w14:textFill>
        </w:rPr>
        <w:t>，总库容182万m</w:t>
      </w:r>
      <w:r>
        <w:rPr>
          <w:rFonts w:hint="eastAsia"/>
          <w:color w:val="000000" w:themeColor="text1"/>
          <w:vertAlign w:val="superscript"/>
          <w:lang w:val="en-IE"/>
          <w14:textFill>
            <w14:solidFill>
              <w14:schemeClr w14:val="tx1"/>
            </w14:solidFill>
          </w14:textFill>
        </w:rPr>
        <w:t>3</w:t>
      </w:r>
      <w:r>
        <w:rPr>
          <w:rFonts w:hint="eastAsia"/>
          <w:color w:val="000000" w:themeColor="text1"/>
          <w:lang w:val="en-IE"/>
          <w14:textFill>
            <w14:solidFill>
              <w14:schemeClr w14:val="tx1"/>
            </w14:solidFill>
          </w14:textFill>
        </w:rPr>
        <w:t>，死库容21.4万m</w:t>
      </w:r>
      <w:r>
        <w:rPr>
          <w:rFonts w:hint="eastAsia"/>
          <w:color w:val="000000" w:themeColor="text1"/>
          <w:vertAlign w:val="superscript"/>
          <w:lang w:val="en-IE"/>
          <w14:textFill>
            <w14:solidFill>
              <w14:schemeClr w14:val="tx1"/>
            </w14:solidFill>
          </w14:textFill>
        </w:rPr>
        <w:t>3</w:t>
      </w:r>
      <w:r>
        <w:rPr>
          <w:rFonts w:hint="eastAsia"/>
          <w:color w:val="000000" w:themeColor="text1"/>
          <w:lang w:val="en-IE"/>
          <w14:textFill>
            <w14:solidFill>
              <w14:schemeClr w14:val="tx1"/>
            </w14:solidFill>
          </w14:textFill>
        </w:rPr>
        <w:t>，是一座以灌溉为主，兼有发电等综合效益的小（</w:t>
      </w:r>
      <w:r>
        <w:rPr>
          <w:rFonts w:hint="eastAsia"/>
          <w:color w:val="000000" w:themeColor="text1"/>
          <w14:textFill>
            <w14:solidFill>
              <w14:schemeClr w14:val="tx1"/>
            </w14:solidFill>
          </w14:textFill>
        </w:rPr>
        <w:t>1</w:t>
      </w:r>
      <w:r>
        <w:rPr>
          <w:rFonts w:hint="eastAsia"/>
          <w:color w:val="000000" w:themeColor="text1"/>
          <w:lang w:val="en-IE"/>
          <w14:textFill>
            <w14:solidFill>
              <w14:schemeClr w14:val="tx1"/>
            </w14:solidFill>
          </w14:textFill>
        </w:rPr>
        <w:t>）型水利工程。枢纽工程由主坝、副坝、输放水设施等建筑物组成。</w:t>
      </w:r>
    </w:p>
    <w:p>
      <w:pPr>
        <w:ind w:firstLine="640"/>
        <w:rPr>
          <w:color w:val="000000" w:themeColor="text1"/>
          <w14:textFill>
            <w14:solidFill>
              <w14:schemeClr w14:val="tx1"/>
            </w14:solidFill>
          </w14:textFill>
        </w:rPr>
      </w:pPr>
      <w:r>
        <w:rPr>
          <w:rFonts w:hint="eastAsia"/>
          <w:color w:val="000000" w:themeColor="text1"/>
          <w:lang w:val="en-IE"/>
          <w14:textFill>
            <w14:solidFill>
              <w14:schemeClr w14:val="tx1"/>
            </w14:solidFill>
          </w14:textFill>
        </w:rPr>
        <w:t>毛坪水库位于山区，水库下游有南山牧场及广西资源的多家厂矿企业，2所学校、0.65万亩耕地，2家医疗金融机构，地理位置十分重要</w:t>
      </w:r>
      <w:r>
        <w:rPr>
          <w:rFonts w:hint="eastAsia"/>
          <w:color w:val="000000" w:themeColor="text1"/>
          <w14:textFill>
            <w14:solidFill>
              <w14:schemeClr w14:val="tx1"/>
            </w14:solidFill>
          </w14:textFill>
        </w:rPr>
        <w:t>。</w:t>
      </w:r>
    </w:p>
    <w:p>
      <w:pPr>
        <w:ind w:firstLine="640"/>
      </w:pPr>
      <w:r>
        <w:rPr>
          <w:rFonts w:hint="eastAsia"/>
        </w:rPr>
        <w:t>3.坝头冲水库</w:t>
      </w:r>
    </w:p>
    <w:p>
      <w:pPr>
        <w:ind w:firstLine="640"/>
        <w:rPr>
          <w:rFonts w:cs="Times New Roman"/>
          <w:color w:val="000000" w:themeColor="text1"/>
          <w:lang w:val="en-IE"/>
          <w14:textFill>
            <w14:solidFill>
              <w14:schemeClr w14:val="tx1"/>
            </w14:solidFill>
          </w14:textFill>
        </w:rPr>
      </w:pPr>
      <w:r>
        <w:rPr>
          <w:rFonts w:hint="eastAsia" w:cs="Times New Roman"/>
          <w:color w:val="000000" w:themeColor="text1"/>
          <w:lang w:val="en-IE"/>
          <w14:textFill>
            <w14:solidFill>
              <w14:schemeClr w14:val="tx1"/>
            </w14:solidFill>
          </w14:textFill>
        </w:rPr>
        <w:t>坝头冲水库</w:t>
      </w:r>
      <w:r>
        <w:rPr>
          <w:rFonts w:hint="eastAsia" w:cs="Times New Roman"/>
          <w:color w:val="000000" w:themeColor="text1"/>
          <w14:textFill>
            <w14:solidFill>
              <w14:schemeClr w14:val="tx1"/>
            </w14:solidFill>
          </w14:textFill>
        </w:rPr>
        <w:t>注册登记编号43052940001-A4</w:t>
      </w:r>
      <w:r>
        <w:rPr>
          <w:rFonts w:hint="eastAsia" w:cs="Times New Roman"/>
          <w:color w:val="000000" w:themeColor="text1"/>
          <w:lang w:val="en-IE"/>
          <w14:textFill>
            <w14:solidFill>
              <w14:schemeClr w14:val="tx1"/>
            </w14:solidFill>
          </w14:textFill>
        </w:rPr>
        <w:t>，大坝座落在城步县儒林镇坝头冲村，水库位于沅水支流土溪河上游，距县城3km，是一座以灌溉为主的小（1）型水利工程。水库控制集雨面积1.88km</w:t>
      </w:r>
      <w:r>
        <w:rPr>
          <w:rFonts w:hint="eastAsia" w:cs="Times New Roman"/>
          <w:color w:val="000000" w:themeColor="text1"/>
          <w:vertAlign w:val="superscript"/>
          <w:lang w:val="en-IE"/>
          <w14:textFill>
            <w14:solidFill>
              <w14:schemeClr w14:val="tx1"/>
            </w14:solidFill>
          </w14:textFill>
        </w:rPr>
        <w:t>2</w:t>
      </w:r>
      <w:r>
        <w:rPr>
          <w:rFonts w:hint="eastAsia" w:cs="Times New Roman"/>
          <w:color w:val="000000" w:themeColor="text1"/>
          <w:lang w:val="en-IE"/>
          <w14:textFill>
            <w14:solidFill>
              <w14:schemeClr w14:val="tx1"/>
            </w14:solidFill>
          </w14:textFill>
        </w:rPr>
        <w:t>，干流长度6km，干流平均坡降10‰。</w:t>
      </w:r>
    </w:p>
    <w:p>
      <w:pPr>
        <w:ind w:firstLine="640"/>
        <w:rPr>
          <w:rFonts w:cs="Times New Roman"/>
          <w:color w:val="000000" w:themeColor="text1"/>
          <w14:textFill>
            <w14:solidFill>
              <w14:schemeClr w14:val="tx1"/>
            </w14:solidFill>
          </w14:textFill>
        </w:rPr>
      </w:pPr>
      <w:r>
        <w:rPr>
          <w:rFonts w:hint="eastAsia" w:cs="Times New Roman"/>
          <w:color w:val="000000" w:themeColor="text1"/>
          <w:lang w:val="en-IE"/>
          <w14:textFill>
            <w14:solidFill>
              <w14:schemeClr w14:val="tx1"/>
            </w14:solidFill>
          </w14:textFill>
        </w:rPr>
        <w:t>该水库设计灌溉面积5790亩，</w:t>
      </w:r>
      <w:r>
        <w:rPr>
          <w:rFonts w:hint="eastAsia" w:cs="Times New Roman"/>
          <w:color w:val="000000" w:themeColor="text1"/>
          <w14:textFill>
            <w14:solidFill>
              <w14:schemeClr w14:val="tx1"/>
            </w14:solidFill>
          </w14:textFill>
        </w:rPr>
        <w:t>水库</w:t>
      </w:r>
      <w:r>
        <w:rPr>
          <w:rFonts w:hint="eastAsia" w:cs="Times New Roman"/>
          <w:color w:val="000000" w:themeColor="text1"/>
          <w:lang w:val="en-IE"/>
          <w14:textFill>
            <w14:solidFill>
              <w14:schemeClr w14:val="tx1"/>
            </w14:solidFill>
          </w14:textFill>
        </w:rPr>
        <w:t>总库容122.4万m</w:t>
      </w:r>
      <w:r>
        <w:rPr>
          <w:rFonts w:hint="eastAsia" w:cs="Times New Roman"/>
          <w:color w:val="000000" w:themeColor="text1"/>
          <w:vertAlign w:val="superscript"/>
          <w:lang w:val="en-IE"/>
          <w14:textFill>
            <w14:solidFill>
              <w14:schemeClr w14:val="tx1"/>
            </w14:solidFill>
          </w14:textFill>
        </w:rPr>
        <w:t>3</w:t>
      </w:r>
      <w:r>
        <w:rPr>
          <w:rFonts w:hint="eastAsia" w:cs="Times New Roman"/>
          <w:color w:val="000000" w:themeColor="text1"/>
          <w:lang w:val="en-IE"/>
          <w14:textFill>
            <w14:solidFill>
              <w14:schemeClr w14:val="tx1"/>
            </w14:solidFill>
          </w14:textFill>
        </w:rPr>
        <w:t>，正常库容83.2万m</w:t>
      </w:r>
      <w:r>
        <w:rPr>
          <w:rFonts w:hint="eastAsia" w:cs="Times New Roman"/>
          <w:color w:val="000000" w:themeColor="text1"/>
          <w:vertAlign w:val="superscript"/>
          <w:lang w:val="en-IE"/>
          <w14:textFill>
            <w14:solidFill>
              <w14:schemeClr w14:val="tx1"/>
            </w14:solidFill>
          </w14:textFill>
        </w:rPr>
        <w:t>3</w:t>
      </w:r>
      <w:r>
        <w:rPr>
          <w:rFonts w:hint="eastAsia" w:cs="Times New Roman"/>
          <w:color w:val="000000" w:themeColor="text1"/>
          <w:lang w:val="en-IE"/>
          <w14:textFill>
            <w14:solidFill>
              <w14:schemeClr w14:val="tx1"/>
            </w14:solidFill>
          </w14:textFill>
        </w:rPr>
        <w:t>，死水位508.9m</w:t>
      </w:r>
      <w:r>
        <w:rPr>
          <w:rFonts w:hint="eastAsia" w:cs="Times New Roman"/>
          <w:color w:val="000000" w:themeColor="text1"/>
          <w14:textFill>
            <w14:solidFill>
              <w14:schemeClr w14:val="tx1"/>
            </w14:solidFill>
          </w14:textFill>
        </w:rPr>
        <w:t>（假定高程）</w:t>
      </w:r>
      <w:r>
        <w:rPr>
          <w:rFonts w:hint="eastAsia" w:cs="Times New Roman"/>
          <w:color w:val="000000" w:themeColor="text1"/>
          <w:lang w:val="en-IE"/>
          <w14:textFill>
            <w14:solidFill>
              <w14:schemeClr w14:val="tx1"/>
            </w14:solidFill>
          </w14:textFill>
        </w:rPr>
        <w:t>,死库容0.45万m</w:t>
      </w:r>
      <w:r>
        <w:rPr>
          <w:rFonts w:hint="eastAsia" w:cs="Times New Roman"/>
          <w:color w:val="000000" w:themeColor="text1"/>
          <w:vertAlign w:val="superscript"/>
          <w:lang w:val="en-IE"/>
          <w14:textFill>
            <w14:solidFill>
              <w14:schemeClr w14:val="tx1"/>
            </w14:solidFill>
          </w14:textFill>
        </w:rPr>
        <w:t>3</w:t>
      </w:r>
      <w:r>
        <w:rPr>
          <w:rFonts w:hint="eastAsia" w:cs="Times New Roman"/>
          <w:color w:val="000000" w:themeColor="text1"/>
          <w:lang w:val="en-IE"/>
          <w14:textFill>
            <w14:solidFill>
              <w14:schemeClr w14:val="tx1"/>
            </w14:solidFill>
          </w14:textFill>
        </w:rPr>
        <w:t>。枢纽工程主要由大坝、溢洪道及输水涵洞及卧管组成。水库设计灌溉面积5790亩，水库保护范围下游的坝头冲村、土溪冲村、八角居委会、六居委会和县城3000亩耕地，3万多人民的生命财产安全，地理位置十分重要</w:t>
      </w:r>
      <w:r>
        <w:rPr>
          <w:rFonts w:hint="eastAsia" w:cs="Times New Roman"/>
          <w:color w:val="000000" w:themeColor="text1"/>
          <w14:textFill>
            <w14:solidFill>
              <w14:schemeClr w14:val="tx1"/>
            </w14:solidFill>
          </w14:textFill>
        </w:rPr>
        <w:t>。</w:t>
      </w:r>
    </w:p>
    <w:p>
      <w:pPr>
        <w:ind w:firstLine="640"/>
      </w:pPr>
      <w:r>
        <w:rPr>
          <w:rFonts w:hint="eastAsia"/>
        </w:rPr>
        <w:t>4.双溪桥水库</w:t>
      </w:r>
    </w:p>
    <w:p>
      <w:pPr>
        <w:ind w:firstLine="640"/>
        <w:rPr>
          <w:color w:val="000000" w:themeColor="text1"/>
          <w:lang w:val="en-IE"/>
          <w14:textFill>
            <w14:solidFill>
              <w14:schemeClr w14:val="tx1"/>
            </w14:solidFill>
          </w14:textFill>
        </w:rPr>
      </w:pPr>
      <w:r>
        <w:rPr>
          <w:rFonts w:hint="eastAsia"/>
          <w:color w:val="000000" w:themeColor="text1"/>
          <w:lang w:val="en-IE"/>
          <w14:textFill>
            <w14:solidFill>
              <w14:schemeClr w14:val="tx1"/>
            </w14:solidFill>
          </w14:textFill>
        </w:rPr>
        <w:t>双溪桥水库</w:t>
      </w:r>
      <w:r>
        <w:rPr>
          <w:rFonts w:hint="eastAsia"/>
          <w:color w:val="000000" w:themeColor="text1"/>
          <w14:textFill>
            <w14:solidFill>
              <w14:schemeClr w14:val="tx1"/>
            </w14:solidFill>
          </w14:textFill>
        </w:rPr>
        <w:t>注册登记编号43052940002-A4，</w:t>
      </w:r>
      <w:r>
        <w:rPr>
          <w:rFonts w:hint="eastAsia"/>
          <w:color w:val="000000" w:themeColor="text1"/>
          <w:lang w:val="en-IE"/>
          <w14:textFill>
            <w14:solidFill>
              <w14:schemeClr w14:val="tx1"/>
            </w14:solidFill>
          </w14:textFill>
        </w:rPr>
        <w:t>位于巫水支流大竹水上游，座落在邵阳市城步苗族自治县儒林镇罗家村境内，距城步县城10km，有简易公路直达坝脚。坝址以上干流长度5km，坝址以上集雨面积5.63km</w:t>
      </w:r>
      <w:r>
        <w:rPr>
          <w:rFonts w:hint="eastAsia"/>
          <w:color w:val="000000" w:themeColor="text1"/>
          <w:vertAlign w:val="superscript"/>
          <w:lang w:val="en-IE"/>
          <w14:textFill>
            <w14:solidFill>
              <w14:schemeClr w14:val="tx1"/>
            </w14:solidFill>
          </w14:textFill>
        </w:rPr>
        <w:t>2</w:t>
      </w:r>
      <w:r>
        <w:rPr>
          <w:rFonts w:hint="eastAsia"/>
          <w:color w:val="000000" w:themeColor="text1"/>
          <w:lang w:val="en-IE"/>
          <w14:textFill>
            <w14:solidFill>
              <w14:schemeClr w14:val="tx1"/>
            </w14:solidFill>
          </w14:textFill>
        </w:rPr>
        <w:t>，坝址以上河道平均坡降65‰。多年平均降雨量为1550mm，多年平均气温16.9℃，控制流域属典型的丘陵地带，地势起伏较大，库内植被覆盖良好，是一座灌溉功能的小（1）型水利工程。</w:t>
      </w:r>
    </w:p>
    <w:p>
      <w:pPr>
        <w:ind w:firstLine="640"/>
        <w:rPr>
          <w:color w:val="000000" w:themeColor="text1"/>
          <w:lang w:val="en-IE"/>
          <w14:textFill>
            <w14:solidFill>
              <w14:schemeClr w14:val="tx1"/>
            </w14:solidFill>
          </w14:textFill>
        </w:rPr>
      </w:pPr>
      <w:r>
        <w:rPr>
          <w:rFonts w:hint="eastAsia"/>
          <w:color w:val="000000" w:themeColor="text1"/>
          <w:lang w:val="en-IE"/>
          <w14:textFill>
            <w14:solidFill>
              <w14:schemeClr w14:val="tx1"/>
            </w14:solidFill>
          </w14:textFill>
        </w:rPr>
        <w:t>水库枢纽工程由大坝、溢洪道、输放水建筑物等永久性建筑物组成。水库库容185万m</w:t>
      </w:r>
      <w:r>
        <w:rPr>
          <w:rFonts w:hint="eastAsia"/>
          <w:color w:val="000000" w:themeColor="text1"/>
          <w:vertAlign w:val="superscript"/>
          <w:lang w:val="en-IE"/>
          <w14:textFill>
            <w14:solidFill>
              <w14:schemeClr w14:val="tx1"/>
            </w14:solidFill>
          </w14:textFill>
        </w:rPr>
        <w:t>3</w:t>
      </w:r>
      <w:r>
        <w:rPr>
          <w:rFonts w:hint="eastAsia"/>
          <w:color w:val="000000" w:themeColor="text1"/>
          <w:lang w:val="en-IE"/>
          <w14:textFill>
            <w14:solidFill>
              <w14:schemeClr w14:val="tx1"/>
            </w14:solidFill>
          </w14:textFill>
        </w:rPr>
        <w:t>，</w:t>
      </w:r>
      <w:r>
        <w:rPr>
          <w:rFonts w:hint="eastAsia"/>
          <w:color w:val="000000" w:themeColor="text1"/>
          <w14:textFill>
            <w14:solidFill>
              <w14:schemeClr w14:val="tx1"/>
            </w14:solidFill>
          </w14:textFill>
        </w:rPr>
        <w:t>死</w:t>
      </w:r>
      <w:r>
        <w:rPr>
          <w:rFonts w:hint="eastAsia"/>
          <w:color w:val="000000" w:themeColor="text1"/>
          <w:lang w:val="en-IE"/>
          <w14:textFill>
            <w14:solidFill>
              <w14:schemeClr w14:val="tx1"/>
            </w14:solidFill>
          </w14:textFill>
        </w:rPr>
        <w:t>库容7.5万m</w:t>
      </w:r>
      <w:r>
        <w:rPr>
          <w:rFonts w:hint="eastAsia"/>
          <w:color w:val="000000" w:themeColor="text1"/>
          <w:vertAlign w:val="superscript"/>
          <w:lang w:val="en-IE"/>
          <w14:textFill>
            <w14:solidFill>
              <w14:schemeClr w14:val="tx1"/>
            </w14:solidFill>
          </w14:textFill>
        </w:rPr>
        <w:t>3</w:t>
      </w:r>
      <w:r>
        <w:rPr>
          <w:rFonts w:hint="eastAsia"/>
          <w:color w:val="000000" w:themeColor="text1"/>
          <w:lang w:val="en-IE"/>
          <w14:textFill>
            <w14:solidFill>
              <w14:schemeClr w14:val="tx1"/>
            </w14:solidFill>
          </w14:textFill>
        </w:rPr>
        <w:t>。</w:t>
      </w:r>
    </w:p>
    <w:p>
      <w:pPr>
        <w:ind w:firstLine="640"/>
        <w:rPr>
          <w:color w:val="000000" w:themeColor="text1"/>
          <w14:textFill>
            <w14:solidFill>
              <w14:schemeClr w14:val="tx1"/>
            </w14:solidFill>
          </w14:textFill>
        </w:rPr>
      </w:pPr>
      <w:r>
        <w:rPr>
          <w:rFonts w:hint="eastAsia"/>
          <w:color w:val="000000" w:themeColor="text1"/>
          <w:lang w:val="en-IE"/>
          <w14:textFill>
            <w14:solidFill>
              <w14:schemeClr w14:val="tx1"/>
            </w14:solidFill>
          </w14:textFill>
        </w:rPr>
        <w:t>枢纽工程为Ⅳ等工程，主要建筑物为4级，工程设计灌溉面积8000亩，保护耕地4.5万亩</w:t>
      </w:r>
      <w:r>
        <w:rPr>
          <w:rFonts w:hint="eastAsia"/>
          <w:color w:val="000000" w:themeColor="text1"/>
          <w14:textFill>
            <w14:solidFill>
              <w14:schemeClr w14:val="tx1"/>
            </w14:solidFill>
          </w14:textFill>
        </w:rPr>
        <w:t>。</w:t>
      </w:r>
    </w:p>
    <w:p>
      <w:pPr>
        <w:ind w:firstLine="640"/>
      </w:pPr>
      <w:r>
        <w:rPr>
          <w:rFonts w:hint="eastAsia"/>
        </w:rPr>
        <w:t>5.大河江水库</w:t>
      </w:r>
    </w:p>
    <w:p>
      <w:pPr>
        <w:ind w:firstLine="640"/>
        <w:rPr>
          <w:color w:val="000000" w:themeColor="text1"/>
          <w:lang w:val="en-IE"/>
          <w14:textFill>
            <w14:solidFill>
              <w14:schemeClr w14:val="tx1"/>
            </w14:solidFill>
          </w14:textFill>
        </w:rPr>
      </w:pPr>
      <w:r>
        <w:rPr>
          <w:rFonts w:hint="eastAsia"/>
          <w:color w:val="000000" w:themeColor="text1"/>
          <w:lang w:val="en-IE"/>
          <w14:textFill>
            <w14:solidFill>
              <w14:schemeClr w14:val="tx1"/>
            </w14:solidFill>
          </w14:textFill>
        </w:rPr>
        <w:t>大河江水库</w:t>
      </w:r>
      <w:r>
        <w:rPr>
          <w:rFonts w:hint="eastAsia"/>
          <w:color w:val="000000" w:themeColor="text1"/>
          <w14:textFill>
            <w14:solidFill>
              <w14:schemeClr w14:val="tx1"/>
            </w14:solidFill>
          </w14:textFill>
        </w:rPr>
        <w:t>注册登记编号43052940008-A4</w:t>
      </w:r>
      <w:r>
        <w:rPr>
          <w:rFonts w:hint="eastAsia"/>
          <w:color w:val="000000" w:themeColor="text1"/>
          <w:lang w:val="en-IE"/>
          <w14:textFill>
            <w14:solidFill>
              <w14:schemeClr w14:val="tx1"/>
            </w14:solidFill>
          </w14:textFill>
        </w:rPr>
        <w:t>，大坝座落在城步县西岩镇松柏村，水库位于资水流域小支流上游，坝址控制集雨面积6.58km</w:t>
      </w:r>
      <w:r>
        <w:rPr>
          <w:rFonts w:hint="eastAsia"/>
          <w:color w:val="000000" w:themeColor="text1"/>
          <w:vertAlign w:val="superscript"/>
          <w:lang w:val="en-IE"/>
          <w14:textFill>
            <w14:solidFill>
              <w14:schemeClr w14:val="tx1"/>
            </w14:solidFill>
          </w14:textFill>
        </w:rPr>
        <w:t>2</w:t>
      </w:r>
      <w:r>
        <w:rPr>
          <w:rFonts w:hint="eastAsia"/>
          <w:color w:val="000000" w:themeColor="text1"/>
          <w:lang w:val="en-IE"/>
          <w14:textFill>
            <w14:solidFill>
              <w14:schemeClr w14:val="tx1"/>
            </w14:solidFill>
          </w14:textFill>
        </w:rPr>
        <w:t>，距县城47km，是一座灌溉、供水功能的小（</w:t>
      </w:r>
      <w:r>
        <w:rPr>
          <w:rFonts w:hint="eastAsia"/>
          <w:color w:val="000000" w:themeColor="text1"/>
          <w14:textFill>
            <w14:solidFill>
              <w14:schemeClr w14:val="tx1"/>
            </w14:solidFill>
          </w14:textFill>
        </w:rPr>
        <w:t>1</w:t>
      </w:r>
      <w:r>
        <w:rPr>
          <w:rFonts w:hint="eastAsia"/>
          <w:color w:val="000000" w:themeColor="text1"/>
          <w:lang w:val="en-IE"/>
          <w14:textFill>
            <w14:solidFill>
              <w14:schemeClr w14:val="tx1"/>
            </w14:solidFill>
          </w14:textFill>
        </w:rPr>
        <w:t>）型水利工程。</w:t>
      </w:r>
    </w:p>
    <w:p>
      <w:pPr>
        <w:ind w:firstLine="640"/>
        <w:rPr>
          <w:color w:val="000000" w:themeColor="text1"/>
          <w:lang w:val="en-IE"/>
          <w14:textFill>
            <w14:solidFill>
              <w14:schemeClr w14:val="tx1"/>
            </w14:solidFill>
          </w14:textFill>
        </w:rPr>
      </w:pPr>
      <w:r>
        <w:rPr>
          <w:rFonts w:hint="eastAsia"/>
          <w:color w:val="000000" w:themeColor="text1"/>
          <w:lang w:val="en-IE"/>
          <w14:textFill>
            <w14:solidFill>
              <w14:schemeClr w14:val="tx1"/>
            </w14:solidFill>
          </w14:textFill>
        </w:rPr>
        <w:t>该水库设计灌溉面积7260亩，水库总库容113.4万m</w:t>
      </w:r>
      <w:r>
        <w:rPr>
          <w:rFonts w:hint="eastAsia"/>
          <w:color w:val="000000" w:themeColor="text1"/>
          <w:vertAlign w:val="superscript"/>
          <w:lang w:val="en-IE"/>
          <w14:textFill>
            <w14:solidFill>
              <w14:schemeClr w14:val="tx1"/>
            </w14:solidFill>
          </w14:textFill>
        </w:rPr>
        <w:t>3</w:t>
      </w:r>
      <w:r>
        <w:rPr>
          <w:rFonts w:hint="eastAsia"/>
          <w:color w:val="000000" w:themeColor="text1"/>
          <w:lang w:val="en-IE"/>
          <w14:textFill>
            <w14:solidFill>
              <w14:schemeClr w14:val="tx1"/>
            </w14:solidFill>
          </w14:textFill>
        </w:rPr>
        <w:t>，</w:t>
      </w:r>
      <w:r>
        <w:rPr>
          <w:rFonts w:hint="eastAsia"/>
          <w:color w:val="000000" w:themeColor="text1"/>
          <w14:textFill>
            <w14:solidFill>
              <w14:schemeClr w14:val="tx1"/>
            </w14:solidFill>
          </w14:textFill>
        </w:rPr>
        <w:t>正常</w:t>
      </w:r>
      <w:r>
        <w:rPr>
          <w:rFonts w:hint="eastAsia"/>
          <w:color w:val="000000" w:themeColor="text1"/>
          <w:lang w:val="en-IE"/>
          <w14:textFill>
            <w14:solidFill>
              <w14:schemeClr w14:val="tx1"/>
            </w14:solidFill>
          </w14:textFill>
        </w:rPr>
        <w:t>库容98.4万m</w:t>
      </w:r>
      <w:r>
        <w:rPr>
          <w:rFonts w:hint="eastAsia"/>
          <w:color w:val="000000" w:themeColor="text1"/>
          <w:vertAlign w:val="superscript"/>
          <w:lang w:val="en-IE"/>
          <w14:textFill>
            <w14:solidFill>
              <w14:schemeClr w14:val="tx1"/>
            </w14:solidFill>
          </w14:textFill>
        </w:rPr>
        <w:t>3</w:t>
      </w:r>
      <w:r>
        <w:rPr>
          <w:rFonts w:hint="eastAsia"/>
          <w:color w:val="000000" w:themeColor="text1"/>
          <w:lang w:val="en-IE"/>
          <w14:textFill>
            <w14:solidFill>
              <w14:schemeClr w14:val="tx1"/>
            </w14:solidFill>
          </w14:textFill>
        </w:rPr>
        <w:t>，死库容0.04万m</w:t>
      </w:r>
      <w:r>
        <w:rPr>
          <w:rFonts w:hint="eastAsia"/>
          <w:color w:val="000000" w:themeColor="text1"/>
          <w:vertAlign w:val="superscript"/>
          <w:lang w:val="en-IE"/>
          <w14:textFill>
            <w14:solidFill>
              <w14:schemeClr w14:val="tx1"/>
            </w14:solidFill>
          </w14:textFill>
        </w:rPr>
        <w:t>3</w:t>
      </w:r>
      <w:r>
        <w:rPr>
          <w:rFonts w:hint="eastAsia"/>
          <w:color w:val="000000" w:themeColor="text1"/>
          <w:lang w:val="en-IE"/>
          <w14:textFill>
            <w14:solidFill>
              <w14:schemeClr w14:val="tx1"/>
            </w14:solidFill>
          </w14:textFill>
        </w:rPr>
        <w:t>。工程等别为Ⅳ等，主要建筑物级别为4级。枢纽工程主要由大坝、溢洪道及输水涵洞及卧管组成。</w:t>
      </w:r>
    </w:p>
    <w:p>
      <w:pPr>
        <w:ind w:firstLine="640"/>
        <w:rPr>
          <w:color w:val="000000" w:themeColor="text1"/>
          <w14:textFill>
            <w14:solidFill>
              <w14:schemeClr w14:val="tx1"/>
            </w14:solidFill>
          </w14:textFill>
        </w:rPr>
      </w:pPr>
      <w:r>
        <w:rPr>
          <w:rFonts w:hint="eastAsia"/>
          <w:color w:val="000000" w:themeColor="text1"/>
          <w:lang w:val="en-IE"/>
          <w14:textFill>
            <w14:solidFill>
              <w14:schemeClr w14:val="tx1"/>
            </w14:solidFill>
          </w14:textFill>
        </w:rPr>
        <w:t>枢纽工程于1972年9月兴建，1975年8月工程竣工，水库保护下游9900亩耕地，0.83万人的生命财产安全，现已运行39年，它为当地的农业经济发展发挥了巨大的作用</w:t>
      </w:r>
      <w:r>
        <w:rPr>
          <w:rFonts w:hint="eastAsia"/>
          <w:color w:val="000000" w:themeColor="text1"/>
          <w14:textFill>
            <w14:solidFill>
              <w14:schemeClr w14:val="tx1"/>
            </w14:solidFill>
          </w14:textFill>
        </w:rPr>
        <w:t>。</w:t>
      </w:r>
    </w:p>
    <w:p>
      <w:pPr>
        <w:ind w:firstLine="640"/>
      </w:pPr>
      <w:r>
        <w:rPr>
          <w:rFonts w:hint="eastAsia"/>
        </w:rPr>
        <w:t>6.金紫江水库</w:t>
      </w:r>
    </w:p>
    <w:p>
      <w:pPr>
        <w:ind w:firstLine="640"/>
        <w:rPr>
          <w:color w:val="000000" w:themeColor="text1"/>
          <w:lang w:val="en-IE"/>
          <w14:textFill>
            <w14:solidFill>
              <w14:schemeClr w14:val="tx1"/>
            </w14:solidFill>
          </w14:textFill>
        </w:rPr>
      </w:pPr>
      <w:r>
        <w:rPr>
          <w:rFonts w:hint="eastAsia"/>
          <w:color w:val="000000" w:themeColor="text1"/>
          <w:lang w:val="en-IE"/>
          <w14:textFill>
            <w14:solidFill>
              <w14:schemeClr w14:val="tx1"/>
            </w14:solidFill>
          </w14:textFill>
        </w:rPr>
        <w:t>金紫江水库</w:t>
      </w:r>
      <w:r>
        <w:rPr>
          <w:rFonts w:hint="eastAsia"/>
          <w:color w:val="000000" w:themeColor="text1"/>
          <w14:textFill>
            <w14:solidFill>
              <w14:schemeClr w14:val="tx1"/>
            </w14:solidFill>
          </w14:textFill>
        </w:rPr>
        <w:t>注册登记编号43052940005-A4</w:t>
      </w:r>
      <w:r>
        <w:rPr>
          <w:rFonts w:hint="eastAsia"/>
          <w:color w:val="000000" w:themeColor="text1"/>
          <w:lang w:val="en-IE"/>
          <w14:textFill>
            <w14:solidFill>
              <w14:schemeClr w14:val="tx1"/>
            </w14:solidFill>
          </w14:textFill>
        </w:rPr>
        <w:t>，位于邵阳市城步苗族自治县金紫乡责任区，距城步县城55</w:t>
      </w:r>
      <w:r>
        <w:rPr>
          <w:rFonts w:hint="eastAsia"/>
          <w:color w:val="000000" w:themeColor="text1"/>
          <w14:textFill>
            <w14:solidFill>
              <w14:schemeClr w14:val="tx1"/>
            </w14:solidFill>
          </w14:textFill>
        </w:rPr>
        <w:t>km</w:t>
      </w:r>
      <w:r>
        <w:rPr>
          <w:rFonts w:hint="eastAsia"/>
          <w:color w:val="000000" w:themeColor="text1"/>
          <w:lang w:val="en-IE"/>
          <w14:textFill>
            <w14:solidFill>
              <w14:schemeClr w14:val="tx1"/>
            </w14:solidFill>
          </w14:textFill>
        </w:rPr>
        <w:t>，属资水支流金水上游，流域全长30</w:t>
      </w:r>
      <w:r>
        <w:rPr>
          <w:rFonts w:hint="eastAsia"/>
          <w:color w:val="000000" w:themeColor="text1"/>
          <w14:textFill>
            <w14:solidFill>
              <w14:schemeClr w14:val="tx1"/>
            </w14:solidFill>
          </w14:textFill>
        </w:rPr>
        <w:t>km</w:t>
      </w:r>
      <w:r>
        <w:rPr>
          <w:rFonts w:hint="eastAsia"/>
          <w:color w:val="000000" w:themeColor="text1"/>
          <w:lang w:val="en-IE"/>
          <w14:textFill>
            <w14:solidFill>
              <w14:schemeClr w14:val="tx1"/>
            </w14:solidFill>
          </w14:textFill>
        </w:rPr>
        <w:t>，坝址以上4.2</w:t>
      </w:r>
      <w:r>
        <w:rPr>
          <w:rFonts w:hint="eastAsia"/>
          <w:color w:val="000000" w:themeColor="text1"/>
          <w14:textFill>
            <w14:solidFill>
              <w14:schemeClr w14:val="tx1"/>
            </w14:solidFill>
          </w14:textFill>
        </w:rPr>
        <w:t>km</w:t>
      </w:r>
      <w:r>
        <w:rPr>
          <w:rFonts w:hint="eastAsia"/>
          <w:color w:val="000000" w:themeColor="text1"/>
          <w:lang w:val="en-IE"/>
          <w14:textFill>
            <w14:solidFill>
              <w14:schemeClr w14:val="tx1"/>
            </w14:solidFill>
          </w14:textFill>
        </w:rPr>
        <w:t>，总集雨面积25km</w:t>
      </w:r>
      <w:r>
        <w:rPr>
          <w:rFonts w:hint="eastAsia"/>
          <w:color w:val="000000" w:themeColor="text1"/>
          <w:vertAlign w:val="superscript"/>
          <w:lang w:val="en-IE"/>
          <w14:textFill>
            <w14:solidFill>
              <w14:schemeClr w14:val="tx1"/>
            </w14:solidFill>
          </w14:textFill>
        </w:rPr>
        <w:t>2</w:t>
      </w:r>
      <w:r>
        <w:rPr>
          <w:rFonts w:hint="eastAsia"/>
          <w:color w:val="000000" w:themeColor="text1"/>
          <w:lang w:val="en-IE"/>
          <w14:textFill>
            <w14:solidFill>
              <w14:schemeClr w14:val="tx1"/>
            </w14:solidFill>
          </w14:textFill>
        </w:rPr>
        <w:t>，坝址以上控制集雨面积2.38km</w:t>
      </w:r>
      <w:r>
        <w:rPr>
          <w:rFonts w:hint="eastAsia"/>
          <w:color w:val="000000" w:themeColor="text1"/>
          <w:vertAlign w:val="superscript"/>
          <w:lang w:val="en-IE"/>
          <w14:textFill>
            <w14:solidFill>
              <w14:schemeClr w14:val="tx1"/>
            </w14:solidFill>
          </w14:textFill>
        </w:rPr>
        <w:t>2</w:t>
      </w:r>
      <w:r>
        <w:rPr>
          <w:rFonts w:hint="eastAsia"/>
          <w:color w:val="000000" w:themeColor="text1"/>
          <w:lang w:val="en-IE"/>
          <w14:textFill>
            <w14:solidFill>
              <w14:schemeClr w14:val="tx1"/>
            </w14:solidFill>
          </w14:textFill>
        </w:rPr>
        <w:t>，占流域面积的9.52%。水库正常库容133万m</w:t>
      </w:r>
      <w:r>
        <w:rPr>
          <w:rFonts w:hint="eastAsia"/>
          <w:color w:val="000000" w:themeColor="text1"/>
          <w:vertAlign w:val="superscript"/>
          <w:lang w:val="en-IE"/>
          <w14:textFill>
            <w14:solidFill>
              <w14:schemeClr w14:val="tx1"/>
            </w14:solidFill>
          </w14:textFill>
        </w:rPr>
        <w:t>3</w:t>
      </w:r>
      <w:r>
        <w:rPr>
          <w:rFonts w:hint="eastAsia"/>
          <w:color w:val="000000" w:themeColor="text1"/>
          <w:lang w:val="en-IE"/>
          <w14:textFill>
            <w14:solidFill>
              <w14:schemeClr w14:val="tx1"/>
            </w14:solidFill>
          </w14:textFill>
        </w:rPr>
        <w:t>，</w:t>
      </w:r>
      <w:r>
        <w:rPr>
          <w:rFonts w:hint="eastAsia"/>
          <w:color w:val="000000" w:themeColor="text1"/>
          <w14:textFill>
            <w14:solidFill>
              <w14:schemeClr w14:val="tx1"/>
            </w14:solidFill>
          </w14:textFill>
        </w:rPr>
        <w:t>总</w:t>
      </w:r>
      <w:r>
        <w:rPr>
          <w:rFonts w:hint="eastAsia"/>
          <w:color w:val="000000" w:themeColor="text1"/>
          <w:lang w:val="en-IE"/>
          <w14:textFill>
            <w14:solidFill>
              <w14:schemeClr w14:val="tx1"/>
            </w14:solidFill>
          </w14:textFill>
        </w:rPr>
        <w:t>库容140.62m</w:t>
      </w:r>
      <w:r>
        <w:rPr>
          <w:rFonts w:hint="eastAsia"/>
          <w:color w:val="000000" w:themeColor="text1"/>
          <w:vertAlign w:val="superscript"/>
          <w:lang w:val="en-IE"/>
          <w14:textFill>
            <w14:solidFill>
              <w14:schemeClr w14:val="tx1"/>
            </w14:solidFill>
          </w14:textFill>
        </w:rPr>
        <w:t>3</w:t>
      </w:r>
      <w:r>
        <w:rPr>
          <w:rFonts w:hint="eastAsia"/>
          <w:color w:val="000000" w:themeColor="text1"/>
          <w:lang w:val="en-IE"/>
          <w14:textFill>
            <w14:solidFill>
              <w14:schemeClr w14:val="tx1"/>
            </w14:solidFill>
          </w14:textFill>
        </w:rPr>
        <w:t>，死库容2万m</w:t>
      </w:r>
      <w:r>
        <w:rPr>
          <w:rFonts w:hint="eastAsia"/>
          <w:color w:val="000000" w:themeColor="text1"/>
          <w:vertAlign w:val="superscript"/>
          <w:lang w:val="en-IE"/>
          <w14:textFill>
            <w14:solidFill>
              <w14:schemeClr w14:val="tx1"/>
            </w14:solidFill>
          </w14:textFill>
        </w:rPr>
        <w:t>3</w:t>
      </w:r>
      <w:r>
        <w:rPr>
          <w:rFonts w:hint="eastAsia"/>
          <w:color w:val="000000" w:themeColor="text1"/>
          <w:lang w:val="en-IE"/>
          <w14:textFill>
            <w14:solidFill>
              <w14:schemeClr w14:val="tx1"/>
            </w14:solidFill>
          </w14:textFill>
        </w:rPr>
        <w:t>，是一座以灌溉为主，兼顾供水的小（1）型水利工程，工程等别为IV等，主要建筑物为4级，次要建筑物为5级</w:t>
      </w:r>
    </w:p>
    <w:p>
      <w:pPr>
        <w:ind w:firstLine="640"/>
        <w:rPr>
          <w:color w:val="000000" w:themeColor="text1"/>
          <w:lang w:val="en-IE"/>
          <w14:textFill>
            <w14:solidFill>
              <w14:schemeClr w14:val="tx1"/>
            </w14:solidFill>
          </w14:textFill>
        </w:rPr>
      </w:pPr>
      <w:r>
        <w:rPr>
          <w:rFonts w:hint="eastAsia"/>
          <w:color w:val="000000" w:themeColor="text1"/>
          <w:lang w:val="en-IE"/>
          <w14:textFill>
            <w14:solidFill>
              <w14:schemeClr w14:val="tx1"/>
            </w14:solidFill>
          </w14:textFill>
        </w:rPr>
        <w:t>金紫江水库设计灌溉面积1.179万亩，金紫江水厂工程目前正在在建中，供1.1万人，水库保护范围有下游金紫江村、沙井村、江西村、太平村、凤凰村、星火村、五塘村及周边地区2.8万亩耕地，2.3多万人民的生命财产安全，并保护城步至武冈公路，地理位置较为重要。</w:t>
      </w:r>
    </w:p>
    <w:p>
      <w:pPr>
        <w:ind w:firstLine="640"/>
      </w:pPr>
      <w:r>
        <w:rPr>
          <w:rFonts w:hint="eastAsia"/>
        </w:rPr>
        <w:t>7.五星水库</w:t>
      </w:r>
    </w:p>
    <w:p>
      <w:pPr>
        <w:ind w:firstLine="640"/>
        <w:rPr>
          <w:color w:val="000000" w:themeColor="text1"/>
          <w:lang w:val="en-IE"/>
          <w14:textFill>
            <w14:solidFill>
              <w14:schemeClr w14:val="tx1"/>
            </w14:solidFill>
          </w14:textFill>
        </w:rPr>
      </w:pPr>
      <w:r>
        <w:rPr>
          <w:rFonts w:hint="eastAsia"/>
          <w:color w:val="000000" w:themeColor="text1"/>
          <w:lang w:val="en-IE"/>
          <w14:textFill>
            <w14:solidFill>
              <w14:schemeClr w14:val="tx1"/>
            </w14:solidFill>
          </w14:textFill>
        </w:rPr>
        <w:t>五星水库</w:t>
      </w:r>
      <w:r>
        <w:rPr>
          <w:rFonts w:hint="eastAsia"/>
          <w:color w:val="000000" w:themeColor="text1"/>
          <w14:textFill>
            <w14:solidFill>
              <w14:schemeClr w14:val="tx1"/>
            </w14:solidFill>
          </w14:textFill>
        </w:rPr>
        <w:t>注册登记编号45052940009-A4，</w:t>
      </w:r>
      <w:r>
        <w:rPr>
          <w:rFonts w:hint="eastAsia"/>
          <w:color w:val="000000" w:themeColor="text1"/>
          <w:lang w:val="en-IE"/>
          <w14:textFill>
            <w14:solidFill>
              <w14:schemeClr w14:val="tx1"/>
            </w14:solidFill>
          </w14:textFill>
        </w:rPr>
        <w:t>位于城步县西岩镇落水村境内，距县城40km，距西岩镇5公里。水库集雨面积2.3km</w:t>
      </w:r>
      <w:r>
        <w:rPr>
          <w:rFonts w:hint="eastAsia"/>
          <w:color w:val="000000" w:themeColor="text1"/>
          <w:vertAlign w:val="superscript"/>
          <w:lang w:val="en-IE"/>
          <w14:textFill>
            <w14:solidFill>
              <w14:schemeClr w14:val="tx1"/>
            </w14:solidFill>
          </w14:textFill>
        </w:rPr>
        <w:t>2</w:t>
      </w:r>
      <w:r>
        <w:rPr>
          <w:rFonts w:hint="eastAsia"/>
          <w:color w:val="000000" w:themeColor="text1"/>
          <w:lang w:val="en-IE"/>
          <w14:textFill>
            <w14:solidFill>
              <w14:schemeClr w14:val="tx1"/>
            </w14:solidFill>
          </w14:textFill>
        </w:rPr>
        <w:t>（外引集雨面积1.1km</w:t>
      </w:r>
      <w:r>
        <w:rPr>
          <w:rFonts w:hint="eastAsia"/>
          <w:color w:val="000000" w:themeColor="text1"/>
          <w:vertAlign w:val="superscript"/>
          <w:lang w:val="en-IE"/>
          <w14:textFill>
            <w14:solidFill>
              <w14:schemeClr w14:val="tx1"/>
            </w14:solidFill>
          </w14:textFill>
        </w:rPr>
        <w:t>2</w:t>
      </w:r>
      <w:r>
        <w:rPr>
          <w:rFonts w:hint="eastAsia"/>
          <w:color w:val="000000" w:themeColor="text1"/>
          <w:lang w:val="en-IE"/>
          <w14:textFill>
            <w14:solidFill>
              <w14:schemeClr w14:val="tx1"/>
            </w14:solidFill>
          </w14:textFill>
        </w:rPr>
        <w:t>），</w:t>
      </w:r>
      <w:r>
        <w:rPr>
          <w:rFonts w:hint="eastAsia"/>
          <w:color w:val="000000" w:themeColor="text1"/>
          <w14:textFill>
            <w14:solidFill>
              <w14:schemeClr w14:val="tx1"/>
            </w14:solidFill>
          </w14:textFill>
        </w:rPr>
        <w:t>水库</w:t>
      </w:r>
      <w:r>
        <w:rPr>
          <w:rFonts w:hint="eastAsia"/>
          <w:color w:val="000000" w:themeColor="text1"/>
          <w:lang w:val="en-IE"/>
          <w14:textFill>
            <w14:solidFill>
              <w14:schemeClr w14:val="tx1"/>
            </w14:solidFill>
          </w14:textFill>
        </w:rPr>
        <w:t>正常库容156万m</w:t>
      </w:r>
      <w:r>
        <w:rPr>
          <w:rFonts w:hint="eastAsia"/>
          <w:color w:val="000000" w:themeColor="text1"/>
          <w:vertAlign w:val="superscript"/>
          <w:lang w:val="en-IE"/>
          <w14:textFill>
            <w14:solidFill>
              <w14:schemeClr w14:val="tx1"/>
            </w14:solidFill>
          </w14:textFill>
        </w:rPr>
        <w:t>3</w:t>
      </w:r>
      <w:r>
        <w:rPr>
          <w:rFonts w:hint="eastAsia"/>
          <w:color w:val="000000" w:themeColor="text1"/>
          <w:lang w:val="en-IE"/>
          <w14:textFill>
            <w14:solidFill>
              <w14:schemeClr w14:val="tx1"/>
            </w14:solidFill>
          </w14:textFill>
        </w:rPr>
        <w:t>，</w:t>
      </w:r>
      <w:r>
        <w:rPr>
          <w:rFonts w:hint="eastAsia"/>
          <w:color w:val="000000" w:themeColor="text1"/>
          <w14:textFill>
            <w14:solidFill>
              <w14:schemeClr w14:val="tx1"/>
            </w14:solidFill>
          </w14:textFill>
        </w:rPr>
        <w:t>总</w:t>
      </w:r>
      <w:r>
        <w:rPr>
          <w:rFonts w:hint="eastAsia"/>
          <w:color w:val="000000" w:themeColor="text1"/>
          <w:lang w:val="en-IE"/>
          <w14:textFill>
            <w14:solidFill>
              <w14:schemeClr w14:val="tx1"/>
            </w14:solidFill>
          </w14:textFill>
        </w:rPr>
        <w:t>库容168.8万m</w:t>
      </w:r>
      <w:r>
        <w:rPr>
          <w:rFonts w:hint="eastAsia"/>
          <w:color w:val="000000" w:themeColor="text1"/>
          <w:vertAlign w:val="superscript"/>
          <w:lang w:val="en-IE"/>
          <w14:textFill>
            <w14:solidFill>
              <w14:schemeClr w14:val="tx1"/>
            </w14:solidFill>
          </w14:textFill>
        </w:rPr>
        <w:t>3</w:t>
      </w:r>
      <w:r>
        <w:rPr>
          <w:rFonts w:hint="eastAsia"/>
          <w:color w:val="000000" w:themeColor="text1"/>
          <w:lang w:val="en-IE"/>
          <w14:textFill>
            <w14:solidFill>
              <w14:schemeClr w14:val="tx1"/>
            </w14:solidFill>
          </w14:textFill>
        </w:rPr>
        <w:t>，</w:t>
      </w:r>
      <w:r>
        <w:rPr>
          <w:rFonts w:hint="eastAsia"/>
          <w:color w:val="000000" w:themeColor="text1"/>
          <w14:textFill>
            <w14:solidFill>
              <w14:schemeClr w14:val="tx1"/>
            </w14:solidFill>
          </w14:textFill>
        </w:rPr>
        <w:t>死</w:t>
      </w:r>
      <w:r>
        <w:rPr>
          <w:rFonts w:hint="eastAsia"/>
          <w:color w:val="000000" w:themeColor="text1"/>
          <w:lang w:val="en-IE"/>
          <w14:textFill>
            <w14:solidFill>
              <w14:schemeClr w14:val="tx1"/>
            </w14:solidFill>
          </w14:textFill>
        </w:rPr>
        <w:t>库容0.1万m</w:t>
      </w:r>
      <w:r>
        <w:rPr>
          <w:rFonts w:hint="eastAsia"/>
          <w:color w:val="000000" w:themeColor="text1"/>
          <w:vertAlign w:val="superscript"/>
          <w:lang w:val="en-IE"/>
          <w14:textFill>
            <w14:solidFill>
              <w14:schemeClr w14:val="tx1"/>
            </w14:solidFill>
          </w14:textFill>
        </w:rPr>
        <w:t>3</w:t>
      </w:r>
      <w:r>
        <w:rPr>
          <w:rFonts w:hint="eastAsia"/>
          <w:color w:val="000000" w:themeColor="text1"/>
          <w:lang w:val="en-IE"/>
          <w14:textFill>
            <w14:solidFill>
              <w14:schemeClr w14:val="tx1"/>
            </w14:solidFill>
          </w14:textFill>
        </w:rPr>
        <w:t>。工程等别为Ⅳ等，其主要建筑物为4级建筑物。枢纽工程主要由主坝、溢洪道和输放水设施三部分组成，另外有副坝两座。</w:t>
      </w:r>
    </w:p>
    <w:p>
      <w:pPr>
        <w:ind w:firstLine="640"/>
        <w:rPr>
          <w:color w:val="000000" w:themeColor="text1"/>
          <w14:textFill>
            <w14:solidFill>
              <w14:schemeClr w14:val="tx1"/>
            </w14:solidFill>
          </w14:textFill>
        </w:rPr>
      </w:pPr>
      <w:r>
        <w:rPr>
          <w:rFonts w:hint="eastAsia"/>
          <w:color w:val="000000" w:themeColor="text1"/>
          <w:lang w:val="en-IE"/>
          <w14:textFill>
            <w14:solidFill>
              <w14:schemeClr w14:val="tx1"/>
            </w14:solidFill>
          </w14:textFill>
        </w:rPr>
        <w:t>五星水库设计灌溉面积6285亩，保护下游居民0.66万人，保护耕地8700亩。近年来还需供应下游西岩镇20000人的生活用水</w:t>
      </w:r>
      <w:r>
        <w:rPr>
          <w:rFonts w:hint="eastAsia"/>
          <w:color w:val="000000" w:themeColor="text1"/>
          <w14:textFill>
            <w14:solidFill>
              <w14:schemeClr w14:val="tx1"/>
            </w14:solidFill>
          </w14:textFill>
        </w:rPr>
        <w:t>。</w:t>
      </w:r>
    </w:p>
    <w:p>
      <w:pPr>
        <w:ind w:firstLine="640"/>
      </w:pPr>
      <w:r>
        <w:rPr>
          <w:rFonts w:hint="eastAsia"/>
        </w:rPr>
        <w:t>8.竹叶塘水库</w:t>
      </w:r>
    </w:p>
    <w:p>
      <w:pPr>
        <w:ind w:firstLine="640"/>
        <w:rPr>
          <w:color w:val="000000" w:themeColor="text1"/>
          <w:lang w:val="en-IE"/>
          <w14:textFill>
            <w14:solidFill>
              <w14:schemeClr w14:val="tx1"/>
            </w14:solidFill>
          </w14:textFill>
        </w:rPr>
      </w:pPr>
      <w:r>
        <w:rPr>
          <w:rFonts w:hint="eastAsia"/>
          <w:color w:val="000000" w:themeColor="text1"/>
          <w:lang w:val="en-IE"/>
          <w14:textFill>
            <w14:solidFill>
              <w14:schemeClr w14:val="tx1"/>
            </w14:solidFill>
          </w14:textFill>
        </w:rPr>
        <w:t>竹叶塘水库</w:t>
      </w:r>
      <w:r>
        <w:rPr>
          <w:rFonts w:hint="eastAsia"/>
          <w:color w:val="000000" w:themeColor="text1"/>
          <w14:textFill>
            <w14:solidFill>
              <w14:schemeClr w14:val="tx1"/>
            </w14:solidFill>
          </w14:textFill>
        </w:rPr>
        <w:t>注册登记编号43052940010-A4</w:t>
      </w:r>
      <w:r>
        <w:rPr>
          <w:rFonts w:hint="eastAsia"/>
          <w:color w:val="000000" w:themeColor="text1"/>
          <w:lang w:val="en-IE"/>
          <w14:textFill>
            <w14:solidFill>
              <w14:schemeClr w14:val="tx1"/>
            </w14:solidFill>
          </w14:textFill>
        </w:rPr>
        <w:t>，位于资水支流赧水河二级支流上游，坝址座落在城步县西岩镇联合村境内，距城步县城43公里，距西岩镇7公里，该水库是一座以灌溉为主的小（</w:t>
      </w:r>
      <w:r>
        <w:rPr>
          <w:rFonts w:hint="eastAsia"/>
          <w:color w:val="000000" w:themeColor="text1"/>
          <w14:textFill>
            <w14:solidFill>
              <w14:schemeClr w14:val="tx1"/>
            </w14:solidFill>
          </w14:textFill>
        </w:rPr>
        <w:t>1</w:t>
      </w:r>
      <w:r>
        <w:rPr>
          <w:rFonts w:hint="eastAsia"/>
          <w:color w:val="000000" w:themeColor="text1"/>
          <w:lang w:val="en-IE"/>
          <w14:textFill>
            <w14:solidFill>
              <w14:schemeClr w14:val="tx1"/>
            </w14:solidFill>
          </w14:textFill>
        </w:rPr>
        <w:t>）型水库。</w:t>
      </w:r>
    </w:p>
    <w:p>
      <w:pPr>
        <w:ind w:firstLine="640"/>
        <w:rPr>
          <w:color w:val="000000" w:themeColor="text1"/>
          <w:lang w:val="en-IE"/>
          <w14:textFill>
            <w14:solidFill>
              <w14:schemeClr w14:val="tx1"/>
            </w14:solidFill>
          </w14:textFill>
        </w:rPr>
      </w:pPr>
      <w:r>
        <w:rPr>
          <w:rFonts w:hint="eastAsia"/>
          <w:color w:val="000000" w:themeColor="text1"/>
          <w:lang w:val="en-IE"/>
          <w14:textFill>
            <w14:solidFill>
              <w14:schemeClr w14:val="tx1"/>
            </w14:solidFill>
          </w14:textFill>
        </w:rPr>
        <w:t>水库集雨面积2.24km</w:t>
      </w:r>
      <w:r>
        <w:rPr>
          <w:rFonts w:hint="eastAsia"/>
          <w:color w:val="000000" w:themeColor="text1"/>
          <w:vertAlign w:val="superscript"/>
          <w:lang w:val="en-IE"/>
          <w14:textFill>
            <w14:solidFill>
              <w14:schemeClr w14:val="tx1"/>
            </w14:solidFill>
          </w14:textFill>
        </w:rPr>
        <w:t>2</w:t>
      </w:r>
      <w:r>
        <w:rPr>
          <w:rFonts w:hint="eastAsia"/>
          <w:color w:val="000000" w:themeColor="text1"/>
          <w:lang w:val="en-IE"/>
          <w14:textFill>
            <w14:solidFill>
              <w14:schemeClr w14:val="tx1"/>
            </w14:solidFill>
          </w14:textFill>
        </w:rPr>
        <w:t>（其中外引面积1.5km</w:t>
      </w:r>
      <w:r>
        <w:rPr>
          <w:rFonts w:hint="eastAsia"/>
          <w:color w:val="000000" w:themeColor="text1"/>
          <w:vertAlign w:val="superscript"/>
          <w:lang w:val="en-IE"/>
          <w14:textFill>
            <w14:solidFill>
              <w14:schemeClr w14:val="tx1"/>
            </w14:solidFill>
          </w14:textFill>
        </w:rPr>
        <w:t>2</w:t>
      </w:r>
      <w:r>
        <w:rPr>
          <w:rFonts w:hint="eastAsia"/>
          <w:color w:val="000000" w:themeColor="text1"/>
          <w:lang w:val="en-IE"/>
          <w14:textFill>
            <w14:solidFill>
              <w14:schemeClr w14:val="tx1"/>
            </w14:solidFill>
          </w14:textFill>
        </w:rPr>
        <w:t>），多年平均降雨1521mm，</w:t>
      </w:r>
      <w:r>
        <w:rPr>
          <w:rFonts w:hint="eastAsia"/>
          <w:color w:val="000000" w:themeColor="text1"/>
          <w14:textFill>
            <w14:solidFill>
              <w14:schemeClr w14:val="tx1"/>
            </w14:solidFill>
          </w14:textFill>
        </w:rPr>
        <w:t>水库</w:t>
      </w:r>
      <w:r>
        <w:rPr>
          <w:rFonts w:hint="eastAsia"/>
          <w:color w:val="000000" w:themeColor="text1"/>
          <w:lang w:val="en-IE"/>
          <w14:textFill>
            <w14:solidFill>
              <w14:schemeClr w14:val="tx1"/>
            </w14:solidFill>
          </w14:textFill>
        </w:rPr>
        <w:t>总库容179.10万m</w:t>
      </w:r>
      <w:r>
        <w:rPr>
          <w:rFonts w:hint="eastAsia"/>
          <w:color w:val="000000" w:themeColor="text1"/>
          <w:vertAlign w:val="superscript"/>
          <w:lang w:val="en-IE"/>
          <w14:textFill>
            <w14:solidFill>
              <w14:schemeClr w14:val="tx1"/>
            </w14:solidFill>
          </w14:textFill>
        </w:rPr>
        <w:t>3</w:t>
      </w:r>
      <w:r>
        <w:rPr>
          <w:rFonts w:hint="eastAsia"/>
          <w:color w:val="000000" w:themeColor="text1"/>
          <w:lang w:val="en-IE"/>
          <w14:textFill>
            <w14:solidFill>
              <w14:schemeClr w14:val="tx1"/>
            </w14:solidFill>
          </w14:textFill>
        </w:rPr>
        <w:t>，正常库容168.0万m</w:t>
      </w:r>
      <w:r>
        <w:rPr>
          <w:rFonts w:hint="eastAsia"/>
          <w:color w:val="000000" w:themeColor="text1"/>
          <w:vertAlign w:val="superscript"/>
          <w:lang w:val="en-IE"/>
          <w14:textFill>
            <w14:solidFill>
              <w14:schemeClr w14:val="tx1"/>
            </w14:solidFill>
          </w14:textFill>
        </w:rPr>
        <w:t>3</w:t>
      </w:r>
      <w:r>
        <w:rPr>
          <w:rFonts w:hint="eastAsia"/>
          <w:color w:val="000000" w:themeColor="text1"/>
          <w:lang w:val="en-IE"/>
          <w14:textFill>
            <w14:solidFill>
              <w14:schemeClr w14:val="tx1"/>
            </w14:solidFill>
          </w14:textFill>
        </w:rPr>
        <w:t>，死库容3.2万m</w:t>
      </w:r>
      <w:r>
        <w:rPr>
          <w:rFonts w:hint="eastAsia"/>
          <w:color w:val="000000" w:themeColor="text1"/>
          <w:vertAlign w:val="superscript"/>
          <w:lang w:val="en-IE"/>
          <w14:textFill>
            <w14:solidFill>
              <w14:schemeClr w14:val="tx1"/>
            </w14:solidFill>
          </w14:textFill>
        </w:rPr>
        <w:t>3</w:t>
      </w:r>
      <w:r>
        <w:rPr>
          <w:rFonts w:hint="eastAsia"/>
          <w:color w:val="000000" w:themeColor="text1"/>
          <w:lang w:val="en-IE"/>
          <w14:textFill>
            <w14:solidFill>
              <w14:schemeClr w14:val="tx1"/>
            </w14:solidFill>
          </w14:textFill>
        </w:rPr>
        <w:t>。工程等别为Ⅳ等，其主要建筑物为4级建筑物。</w:t>
      </w:r>
    </w:p>
    <w:p>
      <w:pPr>
        <w:ind w:firstLine="640"/>
        <w:rPr>
          <w:color w:val="000000" w:themeColor="text1"/>
          <w14:textFill>
            <w14:solidFill>
              <w14:schemeClr w14:val="tx1"/>
            </w14:solidFill>
          </w14:textFill>
        </w:rPr>
      </w:pPr>
      <w:r>
        <w:rPr>
          <w:rFonts w:hint="eastAsia"/>
          <w:color w:val="000000" w:themeColor="text1"/>
          <w:lang w:val="en-IE"/>
          <w14:textFill>
            <w14:solidFill>
              <w14:schemeClr w14:val="tx1"/>
            </w14:solidFill>
          </w14:textFill>
        </w:rPr>
        <w:t>竹叶塘水库设计灌溉农田6500亩，位于山丘区，保护西岩镇多家厂矿企业、2所学校、1万亩耕地，2家医疗金融机构，地理位置十分重要</w:t>
      </w:r>
      <w:r>
        <w:rPr>
          <w:rFonts w:hint="eastAsia"/>
          <w:color w:val="000000" w:themeColor="text1"/>
          <w14:textFill>
            <w14:solidFill>
              <w14:schemeClr w14:val="tx1"/>
            </w14:solidFill>
          </w14:textFill>
        </w:rPr>
        <w:t>。</w:t>
      </w:r>
    </w:p>
    <w:p>
      <w:pPr>
        <w:pStyle w:val="2"/>
      </w:pPr>
      <w:bookmarkStart w:id="28" w:name="_Toc81993236"/>
      <w:bookmarkStart w:id="29" w:name="_Toc20554_WPSOffice_Level1"/>
      <w:bookmarkStart w:id="30" w:name="_Toc66222771"/>
      <w:r>
        <w:rPr>
          <w:rFonts w:hint="eastAsia"/>
        </w:rPr>
        <w:t>3</w:t>
      </w:r>
      <w:r>
        <w:t xml:space="preserve"> 管理与保护范围线标绘</w:t>
      </w:r>
      <w:bookmarkEnd w:id="28"/>
      <w:bookmarkEnd w:id="29"/>
      <w:bookmarkEnd w:id="30"/>
    </w:p>
    <w:p>
      <w:pPr>
        <w:pStyle w:val="3"/>
        <w:ind w:firstLine="643"/>
      </w:pPr>
      <w:bookmarkStart w:id="31" w:name="_Toc66222772"/>
      <w:bookmarkStart w:id="32" w:name="_Toc13934_WPSOffice_Level2"/>
      <w:bookmarkStart w:id="33" w:name="_Toc81993237"/>
      <w:r>
        <w:rPr>
          <w:rFonts w:hint="eastAsia"/>
        </w:rPr>
        <w:t>3</w:t>
      </w:r>
      <w:r>
        <w:t>.1 库区设计洪水位线分析计算</w:t>
      </w:r>
      <w:bookmarkEnd w:id="31"/>
      <w:bookmarkEnd w:id="32"/>
      <w:bookmarkEnd w:id="33"/>
    </w:p>
    <w:p>
      <w:pPr>
        <w:pStyle w:val="4"/>
        <w:ind w:firstLine="640"/>
      </w:pPr>
      <w:bookmarkStart w:id="34" w:name="_Toc60738505"/>
      <w:r>
        <w:rPr>
          <w:rFonts w:hint="eastAsia"/>
        </w:rPr>
        <w:t>3</w:t>
      </w:r>
      <w:r>
        <w:t>.1.1</w:t>
      </w:r>
      <w:r>
        <w:rPr>
          <w:rFonts w:hint="eastAsia"/>
        </w:rPr>
        <w:t xml:space="preserve"> 规程与依据</w:t>
      </w:r>
      <w:bookmarkEnd w:id="34"/>
    </w:p>
    <w:p>
      <w:pPr>
        <w:ind w:firstLine="640"/>
      </w:pPr>
      <w:r>
        <w:rPr>
          <w:rFonts w:hint="eastAsia"/>
        </w:rPr>
        <w:t>1.《湖南省实施&lt;中华人民共和国水法</w:t>
      </w:r>
      <w:r>
        <w:t>&gt;</w:t>
      </w:r>
      <w:r>
        <w:rPr>
          <w:rFonts w:hint="eastAsia"/>
        </w:rPr>
        <w:t>办法》（2</w:t>
      </w:r>
      <w:r>
        <w:t>012</w:t>
      </w:r>
      <w:r>
        <w:rPr>
          <w:rFonts w:hint="eastAsia"/>
        </w:rPr>
        <w:t>年修订）第三章第十六条对国家所有的水库工程管理与保护范围划定进行了规定：“水库库区设计洪水位线以下（包括库内岛屿），大坝背水坡脚向外水平延伸</w:t>
      </w:r>
      <w:r>
        <w:t>30至200米，大坝两端山坡自开挖线起顺坡向外延伸50至100米（到达分水岭不足50米的至分水岭上），溢洪道两端自山坡开挖线起顺坡向外延伸10至20米为管理范围。库区管理范围边缘向外延伸20至100米为保护范围；大坝、溢洪道保护范围根据坝型、坝高及坝基情况划定</w:t>
      </w:r>
      <w:r>
        <w:rPr>
          <w:rFonts w:hint="eastAsia"/>
        </w:rPr>
        <w:t>”。</w:t>
      </w:r>
    </w:p>
    <w:p>
      <w:pPr>
        <w:ind w:firstLine="640"/>
      </w:pPr>
      <w:r>
        <w:rPr>
          <w:rFonts w:hint="eastAsia"/>
        </w:rPr>
        <w:t>2.《水库工程管理设计规范》（S</w:t>
      </w:r>
      <w:r>
        <w:t>L 106-2017</w:t>
      </w:r>
      <w:r>
        <w:rPr>
          <w:rFonts w:hint="eastAsia"/>
        </w:rPr>
        <w:t>）第3章工程管理与保护范围：“3</w:t>
      </w:r>
      <w:r>
        <w:t xml:space="preserve">.0.3 </w:t>
      </w:r>
      <w:r>
        <w:rPr>
          <w:rFonts w:hint="eastAsia"/>
        </w:rPr>
        <w:t>工程区管理范围应包括大坝、溢洪道、输水道等建（构）筑物周围的管理范围和水库土地征用线以内的库区”、“工程管理范围的寺应与工程建设征地一并征用，并办理确权发证手续，工程验收后移交水库管理单位”。</w:t>
      </w:r>
    </w:p>
    <w:p>
      <w:pPr>
        <w:ind w:firstLine="640"/>
      </w:pPr>
      <w:r>
        <w:rPr>
          <w:rFonts w:hint="eastAsia"/>
          <w:lang w:val="en-US" w:eastAsia="zh-CN"/>
        </w:rPr>
        <w:t>3.</w:t>
      </w:r>
      <w:r>
        <w:rPr>
          <w:rFonts w:hint="eastAsia"/>
        </w:rPr>
        <w:t>《中</w:t>
      </w:r>
      <w:r>
        <w:rPr>
          <w:rFonts w:hint="eastAsia"/>
          <w:lang w:eastAsia="zh-CN"/>
        </w:rPr>
        <w:t>华</w:t>
      </w:r>
      <w:r>
        <w:rPr>
          <w:rFonts w:hint="eastAsia"/>
        </w:rPr>
        <w:t>人民共和国水法》第四十三条：“国家对水利工程实施保护。国家所有的水利工程应当按照国务院的规定划定工程管理和保护范围。国务院水利行政主管部门或者流域管理机构管理的水工程，由主管部门或者流域管理机构商有关省、自治区、直辖市人民政府划定工程管理和保护范围。前款规定以外的其他水利工程，应当按照省、自治区、直辖市人民政府的规定，划定工程保护范围和保护职责。在水利工程保护范围内，禁止从事影响水利工程运行和危害水利工程安全的爆破、打井、采石、取土等活动”。</w:t>
      </w:r>
    </w:p>
    <w:p>
      <w:pPr>
        <w:ind w:firstLine="640"/>
      </w:pPr>
      <w:r>
        <w:rPr>
          <w:rFonts w:hint="eastAsia"/>
          <w:lang w:val="en-US" w:eastAsia="zh-CN"/>
        </w:rPr>
        <w:t>4.</w:t>
      </w:r>
      <w:bookmarkStart w:id="51" w:name="_GoBack"/>
      <w:bookmarkEnd w:id="51"/>
      <w:r>
        <w:rPr>
          <w:rFonts w:hint="eastAsia"/>
        </w:rPr>
        <w:t>《湖南省水利水电工程管理办法》第十一条：“在水利水电工程保护范围内进行建设，应符合水利水电工程安全的要求，设计方案经水利水电部门审核同意后，按基本建设程序报批。影响城市防洪安全或水陆交通安全的，要同时取得城建部门或交通部门同意。工程建设单位应按批准的设计施工，保证按时竣工。建设工程确需阻断或损坏排灌沟渠、涵闸、渡槽、管道、堤、坝、桥渠等水利水电工程的，建设单位必须事先报经水利水电工程的主管部门批准，凡对原有工程有不利影响的，建设单位应采取补救措施或者予以补偿”。</w:t>
      </w:r>
    </w:p>
    <w:p>
      <w:pPr>
        <w:pStyle w:val="4"/>
        <w:ind w:firstLine="640"/>
      </w:pPr>
      <w:bookmarkStart w:id="35" w:name="_Toc60738506"/>
      <w:r>
        <w:rPr>
          <w:rFonts w:hint="eastAsia"/>
        </w:rPr>
        <w:t>3</w:t>
      </w:r>
      <w:r>
        <w:t>.1.2</w:t>
      </w:r>
      <w:r>
        <w:rPr>
          <w:rFonts w:hint="eastAsia"/>
        </w:rPr>
        <w:t xml:space="preserve"> 水库的设计洪水位线</w:t>
      </w:r>
      <w:bookmarkEnd w:id="35"/>
    </w:p>
    <w:p>
      <w:pPr>
        <w:ind w:firstLine="640"/>
      </w:pPr>
      <w:r>
        <w:rPr>
          <w:rFonts w:hint="eastAsia"/>
        </w:rPr>
        <w:t>水库库区设计洪水位线一般是指水库库区淹没对象设计洪水标准相对应的水位线。依据收集的水库注册登记资料，及实测坝顶、堰顶高程，确定各水库最终设计洪水位，</w:t>
      </w:r>
      <w:r>
        <w:rPr>
          <w:rFonts w:hint="eastAsia" w:cs="Times New Roman"/>
          <w:color w:val="000000" w:themeColor="text1"/>
          <w14:textFill>
            <w14:solidFill>
              <w14:schemeClr w14:val="tx1"/>
            </w14:solidFill>
          </w14:textFill>
        </w:rPr>
        <w:t>按省水利厅（LXD-2020-027）号工作联系单要求，</w:t>
      </w:r>
      <w:r>
        <w:rPr>
          <w:rFonts w:hint="eastAsia"/>
        </w:rPr>
        <w:t>各水库最终设计洪水位确定总体按照以下原则：</w:t>
      </w:r>
    </w:p>
    <w:p>
      <w:pPr>
        <w:ind w:firstLine="640"/>
      </w:pPr>
      <w:r>
        <w:rPr>
          <w:rFonts w:hint="eastAsia"/>
        </w:rPr>
        <w:t>1.大中型水库管理与保护范围按省水文中心提供的库区设计洪水位成果划定；</w:t>
      </w:r>
    </w:p>
    <w:p>
      <w:pPr>
        <w:ind w:firstLine="640"/>
      </w:pPr>
      <w:r>
        <w:rPr>
          <w:rFonts w:hint="eastAsia"/>
        </w:rPr>
        <w:t>2.小（1）型水库采用二十年一遇设计洪水位，无二十年一遇设计洪水位取正常蓄水位+1米作为库区设计洪水位。</w:t>
      </w:r>
    </w:p>
    <w:p>
      <w:pPr>
        <w:pStyle w:val="3"/>
        <w:ind w:firstLine="643"/>
      </w:pPr>
      <w:bookmarkStart w:id="36" w:name="_Toc81993238"/>
      <w:bookmarkStart w:id="37" w:name="_Toc8824_WPSOffice_Level2"/>
      <w:bookmarkStart w:id="38" w:name="_Toc66222774"/>
      <w:r>
        <w:rPr>
          <w:rFonts w:hint="eastAsia"/>
        </w:rPr>
        <w:t>3</w:t>
      </w:r>
      <w:r>
        <w:t>.3 管理</w:t>
      </w:r>
      <w:r>
        <w:rPr>
          <w:rFonts w:hint="eastAsia"/>
        </w:rPr>
        <w:t>与保护</w:t>
      </w:r>
      <w:r>
        <w:t>范围线标绘</w:t>
      </w:r>
      <w:bookmarkEnd w:id="36"/>
      <w:bookmarkEnd w:id="37"/>
      <w:bookmarkEnd w:id="38"/>
    </w:p>
    <w:p>
      <w:pPr>
        <w:ind w:firstLine="640"/>
      </w:pPr>
      <w:r>
        <w:rPr>
          <w:rFonts w:hint="eastAsia"/>
        </w:rPr>
        <w:t>依据《湖南省水利工程管理与保护范围划定技术指南（试行）》规定的划界标准，在绘制好的管理范围线上布设电子桩、电子告示牌，完成水利工程管理范围的图上标绘。</w:t>
      </w:r>
    </w:p>
    <w:p>
      <w:pPr>
        <w:pStyle w:val="4"/>
        <w:ind w:firstLine="640"/>
      </w:pPr>
      <w:bookmarkStart w:id="39" w:name="_Toc60738509"/>
      <w:r>
        <w:rPr>
          <w:rFonts w:hint="eastAsia"/>
        </w:rPr>
        <w:t>3</w:t>
      </w:r>
      <w:r>
        <w:t xml:space="preserve">.3.1 </w:t>
      </w:r>
      <w:r>
        <w:rPr>
          <w:rFonts w:hint="eastAsia"/>
        </w:rPr>
        <w:t>水库</w:t>
      </w:r>
      <w:bookmarkEnd w:id="39"/>
    </w:p>
    <w:p>
      <w:pPr>
        <w:ind w:firstLine="640"/>
      </w:pPr>
      <w:r>
        <w:rPr>
          <w:rFonts w:hint="eastAsia"/>
        </w:rPr>
        <w:t>《湖南省水利工程管理与保护范围划定技术指南（试行）》对水库管理范围的划定做出了如下规定：</w:t>
      </w:r>
    </w:p>
    <w:p>
      <w:pPr>
        <w:ind w:firstLine="640"/>
      </w:pPr>
      <w:r>
        <w:rPr>
          <w:rFonts w:hint="eastAsia"/>
        </w:rPr>
        <w:t>1.</w:t>
      </w:r>
      <w:r>
        <w:t>水库管理范围分为工程区管理范围和运行区管理范围。其中工程区管理范围是指库区、大坝（含副坝）、溢洪道（含非常溢洪道），以及输水建筑物等的管理范围，运行区管理范围是指办公室、会议室、资料档案室、仓库、防汛调度室、值班室、车库、食堂、值班宿舍及其他附属设施等建（构）筑物的管理范围。</w:t>
      </w:r>
    </w:p>
    <w:p>
      <w:pPr>
        <w:ind w:firstLine="640"/>
      </w:pPr>
      <w:r>
        <w:rPr>
          <w:rFonts w:hint="eastAsia"/>
        </w:rPr>
        <w:t>2.</w:t>
      </w:r>
      <w:r>
        <w:t>水库库区设计洪水位线以下（包括库内岛屿），大坝背水坡脚向外水平延伸30～200m，大坝两端山坡自开挖线起顺坡向外延伸50～100m（到达分水岭不足50m的至分水岭上），溢洪道两端自山坡开挖线（也称工程两侧轮廓线）起顺坡向外延伸10～20m、末端至消力池以下100～300m，输水隧洞进出口建筑物和竖井外缘线以外10～30m为工程区管理范围。</w:t>
      </w:r>
    </w:p>
    <w:p>
      <w:pPr>
        <w:ind w:firstLine="640"/>
        <w:rPr>
          <w:szCs w:val="32"/>
        </w:rPr>
      </w:pPr>
      <w:r>
        <w:t>根据水库管理的实际需要，不同规模水库的工程区管理范围可参照表</w:t>
      </w:r>
      <w:r>
        <w:rPr>
          <w:rFonts w:hint="eastAsia"/>
        </w:rPr>
        <w:t>3-1</w:t>
      </w:r>
      <w:r>
        <w:t>控制。</w:t>
      </w:r>
    </w:p>
    <w:p>
      <w:pPr>
        <w:pStyle w:val="58"/>
        <w:ind w:firstLine="422"/>
      </w:pPr>
      <w:r>
        <w:t>表</w:t>
      </w:r>
      <w:r>
        <w:rPr>
          <w:rFonts w:hint="eastAsia"/>
        </w:rPr>
        <w:t>3-1</w:t>
      </w:r>
      <w:r>
        <w:t xml:space="preserve"> 水库工程区管理范围</w:t>
      </w:r>
    </w:p>
    <w:tbl>
      <w:tblPr>
        <w:tblStyle w:val="31"/>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4"/>
        <w:gridCol w:w="4535"/>
        <w:gridCol w:w="21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824" w:type="dxa"/>
            <w:vAlign w:val="center"/>
          </w:tcPr>
          <w:p>
            <w:pPr>
              <w:pStyle w:val="58"/>
              <w:rPr>
                <w:rFonts w:cs="Times New Roman"/>
              </w:rPr>
            </w:pPr>
            <w:r>
              <w:rPr>
                <w:rFonts w:cs="Times New Roman"/>
              </w:rPr>
              <w:t>工程区域</w:t>
            </w:r>
          </w:p>
        </w:tc>
        <w:tc>
          <w:tcPr>
            <w:tcW w:w="4535" w:type="dxa"/>
            <w:vAlign w:val="center"/>
          </w:tcPr>
          <w:p>
            <w:pPr>
              <w:pStyle w:val="58"/>
              <w:rPr>
                <w:rFonts w:cs="Times New Roman"/>
              </w:rPr>
            </w:pPr>
            <w:r>
              <w:rPr>
                <w:rFonts w:cs="Times New Roman"/>
              </w:rPr>
              <w:t>下游</w:t>
            </w:r>
          </w:p>
        </w:tc>
        <w:tc>
          <w:tcPr>
            <w:tcW w:w="2163" w:type="dxa"/>
            <w:vAlign w:val="center"/>
          </w:tcPr>
          <w:p>
            <w:pPr>
              <w:pStyle w:val="58"/>
              <w:rPr>
                <w:rFonts w:cs="Times New Roman"/>
              </w:rPr>
            </w:pPr>
            <w:r>
              <w:rPr>
                <w:rFonts w:cs="Times New Roman"/>
              </w:rPr>
              <w:t>左右岸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824" w:type="dxa"/>
            <w:vAlign w:val="center"/>
          </w:tcPr>
          <w:p>
            <w:pPr>
              <w:pStyle w:val="37"/>
            </w:pPr>
            <w:r>
              <w:t>大型水库大坝</w:t>
            </w:r>
          </w:p>
        </w:tc>
        <w:tc>
          <w:tcPr>
            <w:tcW w:w="4535" w:type="dxa"/>
            <w:vAlign w:val="center"/>
          </w:tcPr>
          <w:p>
            <w:pPr>
              <w:pStyle w:val="37"/>
            </w:pPr>
            <w:r>
              <w:t>从坝脚线向下游100～200m</w:t>
            </w:r>
          </w:p>
        </w:tc>
        <w:tc>
          <w:tcPr>
            <w:tcW w:w="2163" w:type="dxa"/>
            <w:vMerge w:val="restart"/>
            <w:vAlign w:val="center"/>
          </w:tcPr>
          <w:p>
            <w:pPr>
              <w:pStyle w:val="37"/>
            </w:pPr>
            <w:r>
              <w:t>从坝端开挖线外延</w:t>
            </w:r>
          </w:p>
          <w:p>
            <w:pPr>
              <w:pStyle w:val="37"/>
            </w:pPr>
            <w:r>
              <w:t>50～100m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824" w:type="dxa"/>
            <w:vAlign w:val="center"/>
          </w:tcPr>
          <w:p>
            <w:pPr>
              <w:pStyle w:val="37"/>
            </w:pPr>
            <w:r>
              <w:t>中型水库大坝</w:t>
            </w:r>
          </w:p>
        </w:tc>
        <w:tc>
          <w:tcPr>
            <w:tcW w:w="4535" w:type="dxa"/>
            <w:vAlign w:val="center"/>
          </w:tcPr>
          <w:p>
            <w:pPr>
              <w:pStyle w:val="37"/>
            </w:pPr>
            <w:r>
              <w:t>从坝脚线向下游50～100m</w:t>
            </w:r>
          </w:p>
        </w:tc>
        <w:tc>
          <w:tcPr>
            <w:tcW w:w="2163" w:type="dxa"/>
            <w:vMerge w:val="continue"/>
            <w:vAlign w:val="center"/>
          </w:tcPr>
          <w:p>
            <w:pPr>
              <w:pStyle w:val="3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824" w:type="dxa"/>
            <w:vAlign w:val="center"/>
          </w:tcPr>
          <w:p>
            <w:pPr>
              <w:pStyle w:val="37"/>
            </w:pPr>
            <w:r>
              <w:t>小型水库大坝</w:t>
            </w:r>
          </w:p>
        </w:tc>
        <w:tc>
          <w:tcPr>
            <w:tcW w:w="4535" w:type="dxa"/>
            <w:vAlign w:val="center"/>
          </w:tcPr>
          <w:p>
            <w:pPr>
              <w:pStyle w:val="37"/>
            </w:pPr>
            <w:r>
              <w:t>从坝脚线向下游30～50m</w:t>
            </w:r>
          </w:p>
        </w:tc>
        <w:tc>
          <w:tcPr>
            <w:tcW w:w="2163" w:type="dxa"/>
            <w:vMerge w:val="continue"/>
            <w:vAlign w:val="center"/>
          </w:tcPr>
          <w:p>
            <w:pPr>
              <w:pStyle w:val="3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824" w:type="dxa"/>
            <w:vAlign w:val="center"/>
          </w:tcPr>
          <w:p>
            <w:pPr>
              <w:pStyle w:val="37"/>
            </w:pPr>
            <w:r>
              <w:t>其他建筑物</w:t>
            </w:r>
          </w:p>
        </w:tc>
        <w:tc>
          <w:tcPr>
            <w:tcW w:w="6698" w:type="dxa"/>
            <w:gridSpan w:val="2"/>
            <w:vAlign w:val="center"/>
          </w:tcPr>
          <w:p>
            <w:pPr>
              <w:pStyle w:val="37"/>
            </w:pPr>
            <w:r>
              <w:t>由工程外轮廓线向外：大中型30～50m、小型10～30m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64" w:hRule="atLeast"/>
          <w:jc w:val="center"/>
        </w:trPr>
        <w:tc>
          <w:tcPr>
            <w:tcW w:w="8522" w:type="dxa"/>
            <w:gridSpan w:val="3"/>
            <w:vAlign w:val="center"/>
          </w:tcPr>
          <w:p>
            <w:pPr>
              <w:pStyle w:val="37"/>
              <w:jc w:val="left"/>
            </w:pPr>
            <w:r>
              <w:t>注1：大坝下游和左右岸管理范围端线应与库区管理范围线相衔接。</w:t>
            </w:r>
          </w:p>
          <w:p>
            <w:pPr>
              <w:pStyle w:val="37"/>
              <w:jc w:val="left"/>
            </w:pPr>
            <w:r>
              <w:t>注2：输水隧洞岩层（土层）厚度、岩性和生产活动对工程安全无影响时，可不划定其上部地面管理范围。</w:t>
            </w:r>
          </w:p>
        </w:tc>
      </w:tr>
    </w:tbl>
    <w:p>
      <w:pPr>
        <w:ind w:firstLine="640"/>
      </w:pPr>
      <w:r>
        <w:rPr>
          <w:rFonts w:hint="eastAsia"/>
        </w:rPr>
        <w:t>3.</w:t>
      </w:r>
      <w:r>
        <w:t>水库库区设计洪水位线一般是指水库库区淹没对象设计洪水标准相对应的水位线。对于四水干流及主要支流上的电站水库，若库区设计洪水位与正常蓄水位之间有较多村庄、城镇或居民点的，可按以下原则处理：</w:t>
      </w:r>
    </w:p>
    <w:p>
      <w:pPr>
        <w:ind w:firstLine="640"/>
      </w:pPr>
      <w:r>
        <w:rPr>
          <w:rFonts w:hint="eastAsia"/>
        </w:rPr>
        <w:t>（1）</w:t>
      </w:r>
      <w:r>
        <w:t>有批复的淹没对象设计洪水回水位成果，本阶段宜先按设计洪水回水位成果初步划定管理范围。</w:t>
      </w:r>
    </w:p>
    <w:p>
      <w:pPr>
        <w:ind w:firstLine="640"/>
      </w:pPr>
      <w:r>
        <w:rPr>
          <w:rFonts w:hint="eastAsia"/>
        </w:rPr>
        <w:t>（2）</w:t>
      </w:r>
      <w:r>
        <w:t>没有批复的淹没对象设计洪水回水位成果，应经论证确定。</w:t>
      </w:r>
    </w:p>
    <w:p>
      <w:pPr>
        <w:ind w:firstLine="640"/>
      </w:pPr>
      <w:r>
        <w:rPr>
          <w:rFonts w:hint="eastAsia"/>
        </w:rPr>
        <w:t>（3）</w:t>
      </w:r>
      <w:r>
        <w:t>条件成熟时，宜逐步达到《湖南省实施＜中华人民共和国水法＞办法》的划界标准。</w:t>
      </w:r>
    </w:p>
    <w:p>
      <w:pPr>
        <w:ind w:firstLine="640"/>
      </w:pPr>
      <w:r>
        <w:rPr>
          <w:rFonts w:hint="eastAsia"/>
        </w:rPr>
        <w:t>4.</w:t>
      </w:r>
      <w:r>
        <w:t>有人口迁移线的按照人口迁移线划定管理范围。</w:t>
      </w:r>
    </w:p>
    <w:p>
      <w:pPr>
        <w:ind w:firstLine="640"/>
      </w:pPr>
      <w:r>
        <w:rPr>
          <w:rFonts w:hint="eastAsia"/>
        </w:rPr>
        <w:t>5.</w:t>
      </w:r>
      <w:r>
        <w:t>运行区按其征地范围线或围墙外边线划定管理范围。</w:t>
      </w:r>
    </w:p>
    <w:p>
      <w:pPr>
        <w:ind w:firstLine="640"/>
      </w:pPr>
      <w:r>
        <w:rPr>
          <w:rFonts w:hint="eastAsia"/>
        </w:rPr>
        <w:t>6.保护</w:t>
      </w:r>
      <w:r>
        <w:t>范围线</w:t>
      </w:r>
    </w:p>
    <w:p>
      <w:pPr>
        <w:ind w:firstLine="640"/>
        <w:rPr>
          <w:color w:val="000000" w:themeColor="text1"/>
          <w14:textFill>
            <w14:solidFill>
              <w14:schemeClr w14:val="tx1"/>
            </w14:solidFill>
          </w14:textFill>
        </w:rPr>
      </w:pPr>
      <w:r>
        <w:rPr>
          <w:rFonts w:hint="eastAsia"/>
        </w:rPr>
        <w:t>根据技术指南规定，结合双峰县实际，</w:t>
      </w:r>
      <w:r>
        <w:rPr>
          <w:color w:val="000000" w:themeColor="text1"/>
          <w14:textFill>
            <w14:solidFill>
              <w14:schemeClr w14:val="tx1"/>
            </w14:solidFill>
          </w14:textFill>
        </w:rPr>
        <w:t>库区管理范围边界线向外延伸20～100m为保护范围，大坝、溢洪道保护范围根据坝型、坝高及坝基情况划定，可依照表</w:t>
      </w:r>
      <w:r>
        <w:rPr>
          <w:rFonts w:hint="eastAsia"/>
          <w:color w:val="000000" w:themeColor="text1"/>
          <w14:textFill>
            <w14:solidFill>
              <w14:schemeClr w14:val="tx1"/>
            </w14:solidFill>
          </w14:textFill>
        </w:rPr>
        <w:t>3-2</w:t>
      </w:r>
      <w:r>
        <w:rPr>
          <w:color w:val="000000" w:themeColor="text1"/>
          <w14:textFill>
            <w14:solidFill>
              <w14:schemeClr w14:val="tx1"/>
            </w14:solidFill>
          </w14:textFill>
        </w:rPr>
        <w:t>控制。</w:t>
      </w:r>
    </w:p>
    <w:p>
      <w:pPr>
        <w:pStyle w:val="58"/>
        <w:ind w:firstLine="422"/>
      </w:pPr>
      <w:r>
        <w:t>表</w:t>
      </w:r>
      <w:r>
        <w:rPr>
          <w:rFonts w:hint="eastAsia"/>
        </w:rPr>
        <w:t xml:space="preserve">3-2 </w:t>
      </w:r>
      <w:r>
        <w:t>水库工程区保护范围</w:t>
      </w:r>
    </w:p>
    <w:tbl>
      <w:tblPr>
        <w:tblStyle w:val="30"/>
        <w:tblW w:w="874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2"/>
        <w:gridCol w:w="3456"/>
        <w:gridCol w:w="32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2002" w:type="dxa"/>
            <w:vAlign w:val="center"/>
          </w:tcPr>
          <w:p>
            <w:pPr>
              <w:pStyle w:val="58"/>
              <w:ind w:firstLine="422"/>
              <w:jc w:val="both"/>
              <w:rPr>
                <w:rFonts w:cs="Times New Roman"/>
              </w:rPr>
            </w:pPr>
            <w:r>
              <w:rPr>
                <w:rFonts w:cs="Times New Roman"/>
              </w:rPr>
              <w:t>工程区域</w:t>
            </w:r>
          </w:p>
        </w:tc>
        <w:tc>
          <w:tcPr>
            <w:tcW w:w="3456" w:type="dxa"/>
            <w:vAlign w:val="center"/>
          </w:tcPr>
          <w:p>
            <w:pPr>
              <w:pStyle w:val="58"/>
              <w:rPr>
                <w:rFonts w:cs="Times New Roman"/>
              </w:rPr>
            </w:pPr>
            <w:r>
              <w:rPr>
                <w:rFonts w:cs="Times New Roman"/>
              </w:rPr>
              <w:t>下游</w:t>
            </w:r>
          </w:p>
        </w:tc>
        <w:tc>
          <w:tcPr>
            <w:tcW w:w="3289" w:type="dxa"/>
            <w:vAlign w:val="center"/>
          </w:tcPr>
          <w:p>
            <w:pPr>
              <w:pStyle w:val="58"/>
              <w:rPr>
                <w:rFonts w:cs="Times New Roman"/>
              </w:rPr>
            </w:pPr>
            <w:r>
              <w:rPr>
                <w:rFonts w:cs="Times New Roman"/>
              </w:rPr>
              <w:t>左右岸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2002" w:type="dxa"/>
            <w:vAlign w:val="center"/>
          </w:tcPr>
          <w:p>
            <w:pPr>
              <w:pStyle w:val="37"/>
            </w:pPr>
            <w:r>
              <w:t>大型水库大坝</w:t>
            </w:r>
          </w:p>
        </w:tc>
        <w:tc>
          <w:tcPr>
            <w:tcW w:w="3456" w:type="dxa"/>
          </w:tcPr>
          <w:p>
            <w:pPr>
              <w:pStyle w:val="37"/>
            </w:pPr>
            <w:r>
              <w:t>管理范围边界线外延</w:t>
            </w:r>
          </w:p>
          <w:p>
            <w:pPr>
              <w:pStyle w:val="37"/>
            </w:pPr>
            <w:r>
              <w:t>300～500m</w:t>
            </w:r>
          </w:p>
        </w:tc>
        <w:tc>
          <w:tcPr>
            <w:tcW w:w="3289" w:type="dxa"/>
            <w:vAlign w:val="center"/>
          </w:tcPr>
          <w:p>
            <w:pPr>
              <w:pStyle w:val="37"/>
            </w:pPr>
            <w:r>
              <w:t>管理范围边界线外延</w:t>
            </w:r>
          </w:p>
          <w:p>
            <w:pPr>
              <w:pStyle w:val="37"/>
            </w:pPr>
            <w:r>
              <w:t>200～300m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jc w:val="center"/>
        </w:trPr>
        <w:tc>
          <w:tcPr>
            <w:tcW w:w="2002" w:type="dxa"/>
            <w:vAlign w:val="center"/>
          </w:tcPr>
          <w:p>
            <w:pPr>
              <w:pStyle w:val="37"/>
            </w:pPr>
            <w:r>
              <w:t>中型水库大坝</w:t>
            </w:r>
          </w:p>
        </w:tc>
        <w:tc>
          <w:tcPr>
            <w:tcW w:w="3456" w:type="dxa"/>
            <w:vAlign w:val="center"/>
          </w:tcPr>
          <w:p>
            <w:pPr>
              <w:pStyle w:val="37"/>
            </w:pPr>
            <w:r>
              <w:t>管理范围边界线外延</w:t>
            </w:r>
          </w:p>
          <w:p>
            <w:pPr>
              <w:pStyle w:val="37"/>
            </w:pPr>
            <w:r>
              <w:t>200～300m</w:t>
            </w:r>
          </w:p>
        </w:tc>
        <w:tc>
          <w:tcPr>
            <w:tcW w:w="3289" w:type="dxa"/>
            <w:vAlign w:val="center"/>
          </w:tcPr>
          <w:p>
            <w:pPr>
              <w:pStyle w:val="37"/>
            </w:pPr>
            <w:r>
              <w:t>管理范围边界线外延</w:t>
            </w:r>
          </w:p>
          <w:p>
            <w:pPr>
              <w:pStyle w:val="37"/>
            </w:pPr>
            <w:r>
              <w:t>100～200m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2002" w:type="dxa"/>
            <w:vAlign w:val="center"/>
          </w:tcPr>
          <w:p>
            <w:pPr>
              <w:pStyle w:val="37"/>
            </w:pPr>
            <w:r>
              <w:t>小型水库大坝</w:t>
            </w:r>
          </w:p>
        </w:tc>
        <w:tc>
          <w:tcPr>
            <w:tcW w:w="3456" w:type="dxa"/>
          </w:tcPr>
          <w:p>
            <w:pPr>
              <w:pStyle w:val="37"/>
            </w:pPr>
            <w:r>
              <w:t>管理范围边界线外延</w:t>
            </w:r>
          </w:p>
          <w:p>
            <w:pPr>
              <w:pStyle w:val="37"/>
            </w:pPr>
            <w:r>
              <w:t>50～200m</w:t>
            </w:r>
          </w:p>
        </w:tc>
        <w:tc>
          <w:tcPr>
            <w:tcW w:w="3289" w:type="dxa"/>
          </w:tcPr>
          <w:p>
            <w:pPr>
              <w:pStyle w:val="37"/>
            </w:pPr>
            <w:r>
              <w:t>管理范围边界线外延</w:t>
            </w:r>
          </w:p>
          <w:p>
            <w:pPr>
              <w:pStyle w:val="37"/>
            </w:pPr>
            <w:r>
              <w:t xml:space="preserve">50～100m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2002" w:type="dxa"/>
            <w:vAlign w:val="center"/>
          </w:tcPr>
          <w:p>
            <w:pPr>
              <w:pStyle w:val="37"/>
            </w:pPr>
            <w:r>
              <w:t>其他建筑物</w:t>
            </w:r>
          </w:p>
        </w:tc>
        <w:tc>
          <w:tcPr>
            <w:tcW w:w="6745" w:type="dxa"/>
            <w:gridSpan w:val="2"/>
            <w:vAlign w:val="center"/>
          </w:tcPr>
          <w:p>
            <w:pPr>
              <w:pStyle w:val="37"/>
            </w:pPr>
            <w:r>
              <w:t>由工程外轮廓线向外：大中型30~50m、小型10~30m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jc w:val="center"/>
        </w:trPr>
        <w:tc>
          <w:tcPr>
            <w:tcW w:w="8747" w:type="dxa"/>
            <w:gridSpan w:val="3"/>
          </w:tcPr>
          <w:p>
            <w:pPr>
              <w:pStyle w:val="37"/>
              <w:jc w:val="both"/>
            </w:pPr>
            <w:r>
              <w:t>注1：溢洪道的管理范围边界线向外延伸50～100m为保护范围。</w:t>
            </w:r>
          </w:p>
          <w:p>
            <w:pPr>
              <w:pStyle w:val="37"/>
              <w:jc w:val="both"/>
            </w:pPr>
            <w:r>
              <w:t>注2：当保护范围线超过分水岭时以分水岭为界。</w:t>
            </w:r>
          </w:p>
        </w:tc>
      </w:tr>
    </w:tbl>
    <w:p>
      <w:pPr>
        <w:ind w:firstLine="640"/>
      </w:pPr>
      <w:r>
        <w:rPr>
          <w:rFonts w:hint="eastAsia"/>
        </w:rPr>
        <w:t>办公室、会议室、资料档案室、仓库、防汛调度室、值班室、车库、食堂、值班宿舍及其他附属设施等建（构）筑物等运行区可沿用各级自然资源部门划界的范围。</w:t>
      </w:r>
    </w:p>
    <w:p>
      <w:pPr>
        <w:ind w:firstLine="562"/>
        <w:rPr>
          <w:rFonts w:cs="Times New Roman"/>
          <w:b/>
          <w:sz w:val="28"/>
          <w:szCs w:val="28"/>
        </w:rPr>
      </w:pPr>
      <w:r>
        <w:rPr>
          <w:rFonts w:hint="eastAsia" w:cs="Times New Roman"/>
          <w:b/>
          <w:sz w:val="28"/>
          <w:szCs w:val="28"/>
        </w:rPr>
        <w:t>1.温井水库</w:t>
      </w:r>
    </w:p>
    <w:p>
      <w:pPr>
        <w:ind w:firstLine="640"/>
      </w:pPr>
      <w:r>
        <w:rPr>
          <w:rFonts w:hint="eastAsia"/>
        </w:rPr>
        <w:t>（1）管理范围线标绘</w:t>
      </w:r>
    </w:p>
    <w:p>
      <w:pPr>
        <w:pStyle w:val="66"/>
        <w:ind w:firstLine="64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温井水库除险加固与注册登记资料无水库20年一遇设计洪水位，按省水利厅（LXD-2020-027）号工作联系单的要求，</w:t>
      </w:r>
      <w:r>
        <w:rPr>
          <w:rFonts w:cs="Times New Roman"/>
          <w:color w:val="000000" w:themeColor="text1"/>
          <w14:textFill>
            <w14:solidFill>
              <w14:schemeClr w14:val="tx1"/>
            </w14:solidFill>
          </w14:textFill>
        </w:rPr>
        <w:t>库区按照</w:t>
      </w:r>
      <w:r>
        <w:rPr>
          <w:rFonts w:hint="eastAsia" w:cs="Times New Roman"/>
          <w:color w:val="000000" w:themeColor="text1"/>
          <w14:textFill>
            <w14:solidFill>
              <w14:schemeClr w14:val="tx1"/>
            </w14:solidFill>
          </w14:textFill>
        </w:rPr>
        <w:t>水库正常蓄水位+1米作为库区管理范围线</w:t>
      </w:r>
      <w:r>
        <w:rPr>
          <w:rFonts w:cs="Times New Roman"/>
          <w:color w:val="000000" w:themeColor="text1"/>
          <w14:textFill>
            <w14:solidFill>
              <w14:schemeClr w14:val="tx1"/>
            </w14:solidFill>
          </w14:textFill>
        </w:rPr>
        <w:t>。</w:t>
      </w:r>
    </w:p>
    <w:p>
      <w:pPr>
        <w:pStyle w:val="66"/>
        <w:ind w:firstLine="64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坝区管理范围线以枢纽工程两端开挖线顺坡向外延伸50米标绘，枢纽工程下游以坝后电站用地范围标绘，枢纽工程下游左、右岸管理范围线已工程轮廓外扩50米描绘，运行管理区，单独标绘。</w:t>
      </w:r>
    </w:p>
    <w:p>
      <w:pPr>
        <w:widowControl/>
        <w:spacing w:line="240" w:lineRule="auto"/>
        <w:ind w:firstLine="0" w:firstLineChars="0"/>
        <w:jc w:val="left"/>
      </w:pPr>
      <w:r>
        <w:rPr>
          <w:rFonts w:hint="eastAsia"/>
        </w:rPr>
        <w:t>（2）保护范围线标绘</w:t>
      </w:r>
    </w:p>
    <w:p>
      <w:pPr>
        <w:pStyle w:val="66"/>
        <w:ind w:firstLine="64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库区保护范围以管理范围线外延20米标绘，水库大坝两端以管理范围线外扩50米标绘，大坝下游以管理范围线外延50米标绘，大坝下游保护范围线电站管理范围重合。运行管理区包含在枢纽工程保护范围内，不另行标绘。</w:t>
      </w:r>
    </w:p>
    <w:p>
      <w:pPr>
        <w:ind w:firstLine="562"/>
        <w:rPr>
          <w:rFonts w:cs="Times New Roman"/>
          <w:b/>
          <w:sz w:val="28"/>
          <w:szCs w:val="28"/>
        </w:rPr>
      </w:pPr>
      <w:r>
        <w:rPr>
          <w:rFonts w:hint="eastAsia" w:cs="Times New Roman"/>
          <w:b/>
          <w:sz w:val="28"/>
          <w:szCs w:val="28"/>
        </w:rPr>
        <w:br w:type="page"/>
      </w:r>
    </w:p>
    <w:p>
      <w:pPr>
        <w:ind w:firstLine="562"/>
        <w:rPr>
          <w:rFonts w:cs="Times New Roman"/>
          <w:b/>
          <w:sz w:val="28"/>
          <w:szCs w:val="28"/>
        </w:rPr>
      </w:pPr>
      <w:r>
        <w:rPr>
          <w:rFonts w:hint="eastAsia" w:cs="Times New Roman"/>
          <w:b/>
          <w:sz w:val="28"/>
          <w:szCs w:val="28"/>
        </w:rPr>
        <w:t>2.毛坪水库</w:t>
      </w:r>
    </w:p>
    <w:p>
      <w:pPr>
        <w:ind w:firstLine="640"/>
      </w:pPr>
      <w:r>
        <w:rPr>
          <w:rFonts w:hint="eastAsia"/>
        </w:rPr>
        <w:t>（1）管理范围线标绘</w:t>
      </w:r>
    </w:p>
    <w:p>
      <w:pPr>
        <w:pStyle w:val="66"/>
        <w:ind w:firstLine="64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毛坪水库除险加固与注册登记资料无水库20年一遇设计洪水位，按省水利厅（LXD-2020-027）号工作联系单的要求，</w:t>
      </w:r>
      <w:r>
        <w:rPr>
          <w:rFonts w:cs="Times New Roman"/>
          <w:color w:val="000000" w:themeColor="text1"/>
          <w14:textFill>
            <w14:solidFill>
              <w14:schemeClr w14:val="tx1"/>
            </w14:solidFill>
          </w14:textFill>
        </w:rPr>
        <w:t>库区按照</w:t>
      </w:r>
      <w:r>
        <w:rPr>
          <w:rFonts w:hint="eastAsia" w:cs="Times New Roman"/>
          <w:color w:val="000000" w:themeColor="text1"/>
          <w14:textFill>
            <w14:solidFill>
              <w14:schemeClr w14:val="tx1"/>
            </w14:solidFill>
          </w14:textFill>
        </w:rPr>
        <w:t>水库正常蓄水位+1米作为库区管理范围线</w:t>
      </w:r>
      <w:r>
        <w:rPr>
          <w:rFonts w:cs="Times New Roman"/>
          <w:color w:val="000000" w:themeColor="text1"/>
          <w14:textFill>
            <w14:solidFill>
              <w14:schemeClr w14:val="tx1"/>
            </w14:solidFill>
          </w14:textFill>
        </w:rPr>
        <w:t>。</w:t>
      </w:r>
    </w:p>
    <w:p>
      <w:pPr>
        <w:pStyle w:val="66"/>
        <w:ind w:firstLine="64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主坝管理范围线以大坝两端开挖线顺坡向外延伸50米标绘，大坝下游以工程轮廓外扩30米标绘，枢纽工程下游左岸管理范围线已工程轮廓外扩50米标绘，右岸以村道路肩为界，副坝管理范围线以大坝右端开挖线顺坡向外延伸50米标绘，大坝左端以村道路肩标绘，大坝下游以工程轮廓外扩30米标绘，溢洪道按照工程轮廓外扩10米，下游延伸100米标绘。运行管理区，单独标绘。</w:t>
      </w:r>
    </w:p>
    <w:p>
      <w:pPr>
        <w:ind w:firstLine="640"/>
      </w:pPr>
      <w:r>
        <w:rPr>
          <w:rFonts w:hint="eastAsia"/>
        </w:rPr>
        <w:t>（2）保护范围线标绘</w:t>
      </w:r>
    </w:p>
    <w:p>
      <w:pPr>
        <w:pStyle w:val="66"/>
        <w:ind w:firstLine="64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库区保护范围以管理范围线外延20米标绘，水库大坝左端以管理范围边界线外延50米标绘，超过分水岭的部分已分水岭为界，大坝下游左、右两岸以管理范围线外延50米标。溢洪道的保护范围以管理范围线向外延伸50米标绘。</w:t>
      </w:r>
    </w:p>
    <w:p>
      <w:pPr>
        <w:ind w:firstLine="562"/>
        <w:rPr>
          <w:rFonts w:cs="Times New Roman"/>
          <w:b/>
          <w:sz w:val="28"/>
          <w:szCs w:val="28"/>
        </w:rPr>
      </w:pPr>
      <w:r>
        <w:rPr>
          <w:rFonts w:hint="eastAsia" w:cs="Times New Roman"/>
          <w:b/>
          <w:sz w:val="28"/>
          <w:szCs w:val="28"/>
        </w:rPr>
        <w:br w:type="page"/>
      </w:r>
    </w:p>
    <w:p>
      <w:pPr>
        <w:ind w:firstLine="562"/>
        <w:rPr>
          <w:rFonts w:cs="Times New Roman"/>
          <w:b/>
          <w:sz w:val="28"/>
          <w:szCs w:val="28"/>
        </w:rPr>
      </w:pPr>
      <w:r>
        <w:rPr>
          <w:rFonts w:hint="eastAsia" w:cs="Times New Roman"/>
          <w:b/>
          <w:sz w:val="28"/>
          <w:szCs w:val="28"/>
        </w:rPr>
        <w:t>3.坝头冲水库</w:t>
      </w:r>
    </w:p>
    <w:p>
      <w:pPr>
        <w:ind w:firstLine="640"/>
      </w:pPr>
      <w:r>
        <w:rPr>
          <w:rFonts w:hint="eastAsia"/>
        </w:rPr>
        <w:t>（1）管理范围线标绘</w:t>
      </w:r>
    </w:p>
    <w:p>
      <w:pPr>
        <w:pStyle w:val="66"/>
        <w:ind w:firstLine="64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坝头冲水库除险加固与注册登记资料无水库20年一遇设计洪水位，按省水利厅（LXD-2020-027）号工作联系单的要求，</w:t>
      </w:r>
      <w:r>
        <w:rPr>
          <w:rFonts w:cs="Times New Roman"/>
          <w:color w:val="000000" w:themeColor="text1"/>
          <w14:textFill>
            <w14:solidFill>
              <w14:schemeClr w14:val="tx1"/>
            </w14:solidFill>
          </w14:textFill>
        </w:rPr>
        <w:t>库区按照</w:t>
      </w:r>
      <w:r>
        <w:rPr>
          <w:rFonts w:hint="eastAsia" w:cs="Times New Roman"/>
          <w:color w:val="000000" w:themeColor="text1"/>
          <w14:textFill>
            <w14:solidFill>
              <w14:schemeClr w14:val="tx1"/>
            </w14:solidFill>
          </w14:textFill>
        </w:rPr>
        <w:t>水库正常蓄水位+1米作为库区管理范围线</w:t>
      </w:r>
      <w:r>
        <w:rPr>
          <w:rFonts w:cs="Times New Roman"/>
          <w:color w:val="000000" w:themeColor="text1"/>
          <w14:textFill>
            <w14:solidFill>
              <w14:schemeClr w14:val="tx1"/>
            </w14:solidFill>
          </w14:textFill>
        </w:rPr>
        <w:t>。</w:t>
      </w:r>
    </w:p>
    <w:p>
      <w:pPr>
        <w:pStyle w:val="66"/>
        <w:ind w:firstLine="64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坝区管理范围线以枢纽工程两端开挖线顺坡向外延伸50米标绘，枢纽工程下游以大坝坝脚线向外水平延伸30米标绘，与溢洪道管理范围线衔接，溢洪道管理范围线按工程轮廓线顺坡向外延伸10米，末端外延100米标绘，枢纽工程下游左岸管理范围线超过分水岭的部分以分水岭为界。运行管理区设儒林镇镇政府内，不另行标绘。</w:t>
      </w:r>
    </w:p>
    <w:p>
      <w:pPr>
        <w:ind w:firstLine="640"/>
      </w:pPr>
      <w:r>
        <w:rPr>
          <w:rFonts w:hint="eastAsia"/>
        </w:rPr>
        <w:t>（2）保护范围线标绘</w:t>
      </w:r>
    </w:p>
    <w:p>
      <w:pPr>
        <w:pStyle w:val="66"/>
        <w:ind w:firstLine="64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库区保护范围以管理范围边界线外延20米标绘，枢纽部分保护范围以水库大坝两端管理范围线外延50米标绘，大坝下游左、右岸以管理范围线外延50米标绘，左岸超过分水岭的部分以分水岭位界，大坝下游保护范围线以管理范围线外扩50米标绘。</w:t>
      </w:r>
    </w:p>
    <w:p>
      <w:pPr>
        <w:ind w:firstLine="562"/>
        <w:rPr>
          <w:rFonts w:cs="Times New Roman"/>
          <w:b/>
          <w:sz w:val="28"/>
          <w:szCs w:val="28"/>
        </w:rPr>
      </w:pPr>
      <w:r>
        <w:rPr>
          <w:rFonts w:hint="eastAsia" w:cs="Times New Roman"/>
          <w:b/>
          <w:sz w:val="28"/>
          <w:szCs w:val="28"/>
        </w:rPr>
        <w:br w:type="page"/>
      </w:r>
    </w:p>
    <w:p>
      <w:pPr>
        <w:ind w:firstLine="562"/>
        <w:rPr>
          <w:rFonts w:cs="Times New Roman"/>
          <w:b/>
          <w:sz w:val="28"/>
          <w:szCs w:val="28"/>
        </w:rPr>
      </w:pPr>
      <w:r>
        <w:rPr>
          <w:rFonts w:hint="eastAsia" w:cs="Times New Roman"/>
          <w:b/>
          <w:sz w:val="28"/>
          <w:szCs w:val="28"/>
        </w:rPr>
        <w:t>4.双溪桥水库</w:t>
      </w:r>
    </w:p>
    <w:p>
      <w:pPr>
        <w:ind w:firstLine="640"/>
      </w:pPr>
      <w:r>
        <w:rPr>
          <w:rFonts w:hint="eastAsia"/>
        </w:rPr>
        <w:t>（1）管理范围线标绘</w:t>
      </w:r>
    </w:p>
    <w:p>
      <w:pPr>
        <w:pStyle w:val="66"/>
        <w:ind w:firstLine="64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双溪桥水库除险加固与注册登记资料无水库20年一遇设计洪水位，按省水利厅（LXD-2020-027）号工作联系单的要求，</w:t>
      </w:r>
      <w:r>
        <w:rPr>
          <w:rFonts w:cs="Times New Roman"/>
          <w:color w:val="000000" w:themeColor="text1"/>
          <w14:textFill>
            <w14:solidFill>
              <w14:schemeClr w14:val="tx1"/>
            </w14:solidFill>
          </w14:textFill>
        </w:rPr>
        <w:t>库区按照</w:t>
      </w:r>
      <w:r>
        <w:rPr>
          <w:rFonts w:hint="eastAsia" w:cs="Times New Roman"/>
          <w:color w:val="000000" w:themeColor="text1"/>
          <w14:textFill>
            <w14:solidFill>
              <w14:schemeClr w14:val="tx1"/>
            </w14:solidFill>
          </w14:textFill>
        </w:rPr>
        <w:t>水库正常蓄水位+1米作为库区管理范围线</w:t>
      </w:r>
      <w:r>
        <w:rPr>
          <w:rFonts w:cs="Times New Roman"/>
          <w:color w:val="000000" w:themeColor="text1"/>
          <w14:textFill>
            <w14:solidFill>
              <w14:schemeClr w14:val="tx1"/>
            </w14:solidFill>
          </w14:textFill>
        </w:rPr>
        <w:t>。</w:t>
      </w:r>
    </w:p>
    <w:p>
      <w:pPr>
        <w:pStyle w:val="66"/>
        <w:ind w:firstLine="64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坝区管理范围线以枢纽工程两端开挖线顺坡向外延伸50米标绘，枢纽工程下游以大坝坝脚线向外水平延伸30米标绘，枢纽工程下游左岸管理范围线与溢洪道管理范围线衔接，溢洪道管理范围线按工程轮廓线顺坡向外延伸10米，末端外延100米标绘。运行管理区设儒林镇镇政府内，不另行标绘。</w:t>
      </w:r>
    </w:p>
    <w:p>
      <w:pPr>
        <w:ind w:firstLine="640"/>
      </w:pPr>
      <w:r>
        <w:rPr>
          <w:rFonts w:hint="eastAsia"/>
        </w:rPr>
        <w:t>（2）保护范围线标绘</w:t>
      </w:r>
    </w:p>
    <w:p>
      <w:pPr>
        <w:pStyle w:val="66"/>
        <w:ind w:firstLine="64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库区</w:t>
      </w:r>
      <w:r>
        <w:rPr>
          <w:rFonts w:cs="Times New Roman"/>
          <w:color w:val="000000" w:themeColor="text1"/>
          <w14:textFill>
            <w14:solidFill>
              <w14:schemeClr w14:val="tx1"/>
            </w14:solidFill>
          </w14:textFill>
        </w:rPr>
        <w:t>保护范围以管理范围边界线外延</w:t>
      </w:r>
      <w:r>
        <w:rPr>
          <w:rFonts w:hint="eastAsia" w:cs="Times New Roman"/>
          <w:color w:val="000000" w:themeColor="text1"/>
          <w14:textFill>
            <w14:solidFill>
              <w14:schemeClr w14:val="tx1"/>
            </w14:solidFill>
          </w14:textFill>
        </w:rPr>
        <w:t>20</w:t>
      </w:r>
      <w:r>
        <w:rPr>
          <w:rFonts w:cs="Times New Roman"/>
          <w:color w:val="000000" w:themeColor="text1"/>
          <w14:textFill>
            <w14:solidFill>
              <w14:schemeClr w14:val="tx1"/>
            </w14:solidFill>
          </w14:textFill>
        </w:rPr>
        <w:t>米标绘，</w:t>
      </w:r>
      <w:r>
        <w:rPr>
          <w:rFonts w:hint="eastAsia" w:cs="Times New Roman"/>
          <w:color w:val="000000" w:themeColor="text1"/>
          <w14:textFill>
            <w14:solidFill>
              <w14:schemeClr w14:val="tx1"/>
            </w14:solidFill>
          </w14:textFill>
        </w:rPr>
        <w:t>大坝两端以管理范围线外扩50米标绘，下游按管理范围线外扩50米为界，超过分水岭的部分以分水岭为界</w:t>
      </w:r>
      <w:r>
        <w:rPr>
          <w:rFonts w:cs="Times New Roman"/>
          <w:color w:val="000000" w:themeColor="text1"/>
          <w14:textFill>
            <w14:solidFill>
              <w14:schemeClr w14:val="tx1"/>
            </w14:solidFill>
          </w14:textFill>
        </w:rPr>
        <w:t>。</w:t>
      </w:r>
    </w:p>
    <w:p>
      <w:pPr>
        <w:ind w:firstLine="562"/>
        <w:rPr>
          <w:rFonts w:cs="Times New Roman"/>
          <w:b/>
          <w:sz w:val="28"/>
          <w:szCs w:val="28"/>
        </w:rPr>
      </w:pPr>
      <w:r>
        <w:rPr>
          <w:rFonts w:hint="eastAsia" w:cs="Times New Roman"/>
          <w:b/>
          <w:sz w:val="28"/>
          <w:szCs w:val="28"/>
        </w:rPr>
        <w:t>5.大河江水库</w:t>
      </w:r>
    </w:p>
    <w:p>
      <w:pPr>
        <w:ind w:firstLine="640"/>
      </w:pPr>
      <w:r>
        <w:rPr>
          <w:rFonts w:hint="eastAsia"/>
        </w:rPr>
        <w:t>（1）管理范围线标绘</w:t>
      </w:r>
    </w:p>
    <w:p>
      <w:pPr>
        <w:pStyle w:val="66"/>
        <w:ind w:firstLine="64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大河江水库除险加固与注册登记资料无水库20年一遇设计洪水位，按省水利厅（LXD-2020-027）号工作联系单的要求，</w:t>
      </w:r>
      <w:r>
        <w:rPr>
          <w:rFonts w:cs="Times New Roman"/>
          <w:color w:val="000000" w:themeColor="text1"/>
          <w14:textFill>
            <w14:solidFill>
              <w14:schemeClr w14:val="tx1"/>
            </w14:solidFill>
          </w14:textFill>
        </w:rPr>
        <w:t>库区按照</w:t>
      </w:r>
      <w:r>
        <w:rPr>
          <w:rFonts w:hint="eastAsia" w:cs="Times New Roman"/>
          <w:color w:val="000000" w:themeColor="text1"/>
          <w14:textFill>
            <w14:solidFill>
              <w14:schemeClr w14:val="tx1"/>
            </w14:solidFill>
          </w14:textFill>
        </w:rPr>
        <w:t>水库正常蓄水位+1米作为库区管理范围线</w:t>
      </w:r>
      <w:r>
        <w:rPr>
          <w:rFonts w:cs="Times New Roman"/>
          <w:color w:val="000000" w:themeColor="text1"/>
          <w14:textFill>
            <w14:solidFill>
              <w14:schemeClr w14:val="tx1"/>
            </w14:solidFill>
          </w14:textFill>
        </w:rPr>
        <w:t>。</w:t>
      </w:r>
    </w:p>
    <w:p>
      <w:pPr>
        <w:pStyle w:val="66"/>
        <w:ind w:firstLine="64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坝区管理范围线以枢纽工程两端开挖线顺坡向外延伸50米标绘，左岸超过分水岭的部分以分水岭为界，枢纽工程下游以大坝坝脚线向外水平延伸30米标绘，枢纽工程下游右岸管理范围线与溢洪道管理范围线衔接，溢洪道管理范围线按工程轮廓线顺坡向外延伸10米，末端外延100米标绘。运行管理区单独标绘。</w:t>
      </w:r>
    </w:p>
    <w:p>
      <w:pPr>
        <w:ind w:firstLine="640"/>
      </w:pPr>
      <w:r>
        <w:rPr>
          <w:rFonts w:hint="eastAsia"/>
        </w:rPr>
        <w:t>（2）保护范围线标绘</w:t>
      </w:r>
    </w:p>
    <w:p>
      <w:pPr>
        <w:pStyle w:val="66"/>
        <w:ind w:firstLine="64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坝区保护范围线以枢纽部分管理范围线外延50米标绘，大坝左端超过分水岭的部分以分水岭为界，库区保护范围线按管理范围线外延20米标绘，运行管理区不标绘保护范围。</w:t>
      </w:r>
    </w:p>
    <w:p>
      <w:pPr>
        <w:ind w:firstLine="562"/>
        <w:rPr>
          <w:rFonts w:cs="Times New Roman"/>
          <w:b/>
          <w:sz w:val="28"/>
          <w:szCs w:val="28"/>
        </w:rPr>
      </w:pPr>
      <w:r>
        <w:rPr>
          <w:rFonts w:hint="eastAsia" w:cs="Times New Roman"/>
          <w:b/>
          <w:sz w:val="28"/>
          <w:szCs w:val="28"/>
        </w:rPr>
        <w:t>6.金紫江水库</w:t>
      </w:r>
    </w:p>
    <w:p>
      <w:pPr>
        <w:ind w:firstLine="640"/>
      </w:pPr>
      <w:r>
        <w:rPr>
          <w:rFonts w:hint="eastAsia"/>
        </w:rPr>
        <w:t>（1）管理范围线标绘</w:t>
      </w:r>
    </w:p>
    <w:p>
      <w:pPr>
        <w:pStyle w:val="66"/>
        <w:ind w:firstLine="64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金紫江水库除险加固与注册登记资料无水库20年一遇设计洪水位，按省水利厅（LXD-2020-027）号工作联系单的要求，</w:t>
      </w:r>
      <w:r>
        <w:rPr>
          <w:rFonts w:cs="Times New Roman"/>
          <w:color w:val="000000" w:themeColor="text1"/>
          <w14:textFill>
            <w14:solidFill>
              <w14:schemeClr w14:val="tx1"/>
            </w14:solidFill>
          </w14:textFill>
        </w:rPr>
        <w:t>库区按照</w:t>
      </w:r>
      <w:r>
        <w:rPr>
          <w:rFonts w:hint="eastAsia" w:cs="Times New Roman"/>
          <w:color w:val="000000" w:themeColor="text1"/>
          <w14:textFill>
            <w14:solidFill>
              <w14:schemeClr w14:val="tx1"/>
            </w14:solidFill>
          </w14:textFill>
        </w:rPr>
        <w:t>水库正常蓄水位+1米作为库区管理范围线</w:t>
      </w:r>
      <w:r>
        <w:rPr>
          <w:rFonts w:cs="Times New Roman"/>
          <w:color w:val="000000" w:themeColor="text1"/>
          <w14:textFill>
            <w14:solidFill>
              <w14:schemeClr w14:val="tx1"/>
            </w14:solidFill>
          </w14:textFill>
        </w:rPr>
        <w:t>。</w:t>
      </w:r>
    </w:p>
    <w:p>
      <w:pPr>
        <w:ind w:firstLine="64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坝区管理范围线以枢纽工程两端开挖线顺坡向外延伸50米标绘，枢纽工程下游以大坝坝脚线向外水平延伸30米标绘，枢纽工程下游左岸管理范围线与溢洪道管理范围线衔接，溢洪道管理范围线按工程轮廓线顺坡向外延伸10米，末端外延100米标绘。运行管理区单独标绘管理范围线。</w:t>
      </w:r>
    </w:p>
    <w:p>
      <w:pPr>
        <w:ind w:firstLine="640"/>
      </w:pPr>
      <w:r>
        <w:rPr>
          <w:rFonts w:hint="eastAsia"/>
        </w:rPr>
        <w:t>（2）保护范围线标绘</w:t>
      </w:r>
    </w:p>
    <w:p>
      <w:pPr>
        <w:ind w:firstLine="64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水库坝区保护范围以管理范围边界线外延50米标绘，库区保护范围按管理范围线外延20米进行标绘，管理运行区包含在保护范围内，不另行标绘。</w:t>
      </w:r>
    </w:p>
    <w:p>
      <w:pPr>
        <w:ind w:firstLine="562"/>
        <w:rPr>
          <w:rFonts w:cs="Times New Roman"/>
          <w:b/>
          <w:sz w:val="28"/>
          <w:szCs w:val="28"/>
        </w:rPr>
      </w:pPr>
      <w:r>
        <w:rPr>
          <w:rFonts w:hint="eastAsia" w:cs="Times New Roman"/>
          <w:b/>
          <w:sz w:val="28"/>
          <w:szCs w:val="28"/>
        </w:rPr>
        <w:t>7.五星水库</w:t>
      </w:r>
    </w:p>
    <w:p>
      <w:pPr>
        <w:ind w:firstLine="640"/>
      </w:pPr>
      <w:r>
        <w:rPr>
          <w:rFonts w:hint="eastAsia"/>
        </w:rPr>
        <w:t>（1）管理范围线标绘</w:t>
      </w:r>
    </w:p>
    <w:p>
      <w:pPr>
        <w:pStyle w:val="66"/>
        <w:ind w:firstLine="64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五星水库除险加固与注册登记资料无水库20年一遇设计洪水位，按省水利厅（LXD-2020-027）号工作联系单的要求，</w:t>
      </w:r>
      <w:r>
        <w:rPr>
          <w:rFonts w:cs="Times New Roman"/>
          <w:color w:val="000000" w:themeColor="text1"/>
          <w14:textFill>
            <w14:solidFill>
              <w14:schemeClr w14:val="tx1"/>
            </w14:solidFill>
          </w14:textFill>
        </w:rPr>
        <w:t>库区按照</w:t>
      </w:r>
      <w:r>
        <w:rPr>
          <w:rFonts w:hint="eastAsia" w:cs="Times New Roman"/>
          <w:color w:val="000000" w:themeColor="text1"/>
          <w14:textFill>
            <w14:solidFill>
              <w14:schemeClr w14:val="tx1"/>
            </w14:solidFill>
          </w14:textFill>
        </w:rPr>
        <w:t>水库正常蓄水位+1米作为库区管理范围线</w:t>
      </w:r>
      <w:r>
        <w:rPr>
          <w:rFonts w:cs="Times New Roman"/>
          <w:color w:val="000000" w:themeColor="text1"/>
          <w14:textFill>
            <w14:solidFill>
              <w14:schemeClr w14:val="tx1"/>
            </w14:solidFill>
          </w14:textFill>
        </w:rPr>
        <w:t>。</w:t>
      </w:r>
    </w:p>
    <w:p>
      <w:pPr>
        <w:ind w:firstLine="64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坝区管理范围线以枢纽工程两端开挖线顺坡向外延伸50米标绘，枢纽工程下游以大坝坝脚线向外水平延伸30米标绘，运行管理区单独按建筑范围标绘。</w:t>
      </w:r>
    </w:p>
    <w:p>
      <w:pPr>
        <w:ind w:firstLine="640"/>
      </w:pPr>
      <w:r>
        <w:rPr>
          <w:rFonts w:hint="eastAsia"/>
        </w:rPr>
        <w:t>（2）保护范围线标绘</w:t>
      </w:r>
    </w:p>
    <w:p>
      <w:pPr>
        <w:ind w:firstLine="64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水库坝区保护范围以管理范围边界线外延50米标绘，库区保护范围按管理范围线外延20米进行标绘。</w:t>
      </w:r>
    </w:p>
    <w:p>
      <w:pPr>
        <w:ind w:firstLine="562"/>
        <w:rPr>
          <w:rFonts w:cs="Times New Roman"/>
          <w:b/>
          <w:sz w:val="28"/>
          <w:szCs w:val="28"/>
        </w:rPr>
      </w:pPr>
      <w:r>
        <w:rPr>
          <w:rFonts w:hint="eastAsia" w:cs="Times New Roman"/>
          <w:b/>
          <w:sz w:val="28"/>
          <w:szCs w:val="28"/>
        </w:rPr>
        <w:t>8.竹叶塘水库</w:t>
      </w:r>
    </w:p>
    <w:p>
      <w:pPr>
        <w:ind w:firstLine="640"/>
      </w:pPr>
      <w:r>
        <w:rPr>
          <w:rFonts w:hint="eastAsia"/>
        </w:rPr>
        <w:t>（1）管理范围线标绘</w:t>
      </w:r>
    </w:p>
    <w:p>
      <w:pPr>
        <w:pStyle w:val="66"/>
        <w:ind w:firstLine="64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竹叶塘水库除险加固与注册登记资料无水库20年一遇设计洪水位，按省水利厅（LXD-2020-027）号工作联系单的要求，</w:t>
      </w:r>
      <w:r>
        <w:rPr>
          <w:rFonts w:cs="Times New Roman"/>
          <w:color w:val="000000" w:themeColor="text1"/>
          <w14:textFill>
            <w14:solidFill>
              <w14:schemeClr w14:val="tx1"/>
            </w14:solidFill>
          </w14:textFill>
        </w:rPr>
        <w:t>库区按照</w:t>
      </w:r>
      <w:r>
        <w:rPr>
          <w:rFonts w:hint="eastAsia" w:cs="Times New Roman"/>
          <w:color w:val="000000" w:themeColor="text1"/>
          <w14:textFill>
            <w14:solidFill>
              <w14:schemeClr w14:val="tx1"/>
            </w14:solidFill>
          </w14:textFill>
        </w:rPr>
        <w:t>水库正常蓄水位+1米作为库区管理范围线</w:t>
      </w:r>
      <w:r>
        <w:rPr>
          <w:rFonts w:cs="Times New Roman"/>
          <w:color w:val="000000" w:themeColor="text1"/>
          <w14:textFill>
            <w14:solidFill>
              <w14:schemeClr w14:val="tx1"/>
            </w14:solidFill>
          </w14:textFill>
        </w:rPr>
        <w:t>。</w:t>
      </w:r>
    </w:p>
    <w:p>
      <w:pPr>
        <w:pStyle w:val="66"/>
        <w:ind w:firstLine="64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坝区管理范围线以枢纽工程两端开挖线顺坡向外延伸50米标绘，大坝左端管理范围线与溢洪道相衔接，溢洪道管理范围线以工程轮廓线外扩10米，末端向下游延伸100米标绘，枢纽工程下游以大坝坝脚线向外水平延伸30米标绘。运行管理区包含在枢纽工程管理范围线内，不另行标绘</w:t>
      </w:r>
      <w:r>
        <w:rPr>
          <w:rFonts w:cs="Times New Roman"/>
          <w:color w:val="000000" w:themeColor="text1"/>
          <w14:textFill>
            <w14:solidFill>
              <w14:schemeClr w14:val="tx1"/>
            </w14:solidFill>
          </w14:textFill>
        </w:rPr>
        <w:t>。</w:t>
      </w:r>
    </w:p>
    <w:p>
      <w:pPr>
        <w:ind w:firstLine="640"/>
      </w:pPr>
      <w:r>
        <w:rPr>
          <w:rFonts w:hint="eastAsia"/>
        </w:rPr>
        <w:t>（2）保护范围线标绘</w:t>
      </w:r>
    </w:p>
    <w:p>
      <w:pPr>
        <w:ind w:firstLine="640"/>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水库坝区保护范围以管理范围边界线外延50米标绘，库区保护范围按管理范围线外延20米进行标绘。</w:t>
      </w:r>
    </w:p>
    <w:p>
      <w:pPr>
        <w:pStyle w:val="3"/>
        <w:ind w:firstLine="643"/>
      </w:pPr>
      <w:bookmarkStart w:id="40" w:name="_Toc66222775"/>
      <w:bookmarkStart w:id="41" w:name="_Toc81993239"/>
      <w:bookmarkStart w:id="42" w:name="_Toc6961_WPSOffice_Level2"/>
      <w:r>
        <w:rPr>
          <w:rFonts w:hint="eastAsia"/>
        </w:rPr>
        <w:t>3</w:t>
      </w:r>
      <w:r>
        <w:t>.</w:t>
      </w:r>
      <w:r>
        <w:rPr>
          <w:rFonts w:hint="eastAsia"/>
        </w:rPr>
        <w:t>4</w:t>
      </w:r>
      <w:r>
        <w:t xml:space="preserve"> 电子桩和电子告示牌布设</w:t>
      </w:r>
      <w:bookmarkEnd w:id="40"/>
      <w:bookmarkEnd w:id="41"/>
      <w:bookmarkEnd w:id="42"/>
    </w:p>
    <w:p>
      <w:pPr>
        <w:pStyle w:val="4"/>
        <w:ind w:firstLine="640"/>
      </w:pPr>
      <w:bookmarkStart w:id="43" w:name="_Toc60738513"/>
      <w:r>
        <w:rPr>
          <w:rFonts w:hint="eastAsia"/>
        </w:rPr>
        <w:t>3</w:t>
      </w:r>
      <w:r>
        <w:t>.</w:t>
      </w:r>
      <w:r>
        <w:rPr>
          <w:rFonts w:hint="eastAsia"/>
        </w:rPr>
        <w:t>4</w:t>
      </w:r>
      <w:r>
        <w:t xml:space="preserve">.1 </w:t>
      </w:r>
      <w:r>
        <w:rPr>
          <w:rFonts w:hint="eastAsia"/>
        </w:rPr>
        <w:t>电子桩和电子告示牌布设总体原则</w:t>
      </w:r>
      <w:bookmarkEnd w:id="43"/>
    </w:p>
    <w:p>
      <w:pPr>
        <w:ind w:firstLine="640"/>
      </w:pPr>
      <w:r>
        <w:rPr>
          <w:rFonts w:hint="eastAsia"/>
        </w:rPr>
        <w:t>（1）电子界桩布设总体原则</w:t>
      </w:r>
    </w:p>
    <w:p>
      <w:pPr>
        <w:ind w:firstLine="640"/>
      </w:pPr>
      <w:r>
        <w:t>1）布设界桩时以能控制水利工程管理与保护范围边界的基本走向为原则。</w:t>
      </w:r>
    </w:p>
    <w:p>
      <w:pPr>
        <w:ind w:firstLine="640"/>
      </w:pPr>
      <w:r>
        <w:t>2）工程临水侧不布设管理与保护范围界桩。</w:t>
      </w:r>
    </w:p>
    <w:p>
      <w:pPr>
        <w:ind w:firstLine="640"/>
      </w:pPr>
      <w:r>
        <w:rPr>
          <w:rFonts w:hint="eastAsia"/>
        </w:rPr>
        <w:t>（2）电子告示牌布设总体原则</w:t>
      </w:r>
    </w:p>
    <w:p>
      <w:pPr>
        <w:ind w:firstLine="640"/>
      </w:pPr>
      <w:r>
        <w:t>1）水利工程管理范围线的起点、终点各设一个告示牌，起点、终点之间设置的告示牌间距小于3km。</w:t>
      </w:r>
    </w:p>
    <w:p>
      <w:pPr>
        <w:ind w:firstLine="640"/>
      </w:pPr>
      <w:r>
        <w:t>2）水利工程保护范围线的起点、终点各设一个告示牌，起点、终点之间设置的告示牌间距小于6km。</w:t>
      </w:r>
    </w:p>
    <w:p>
      <w:pPr>
        <w:ind w:firstLine="640"/>
      </w:pPr>
      <w:r>
        <w:t>3）堤防工程的临水侧不布设管理与保护范围告示牌。</w:t>
      </w:r>
    </w:p>
    <w:p>
      <w:pPr>
        <w:ind w:firstLine="640"/>
      </w:pPr>
      <w:r>
        <w:t>4）在下列情况设置</w:t>
      </w:r>
      <w:r>
        <w:rPr>
          <w:rFonts w:hint="eastAsia"/>
        </w:rPr>
        <w:t>电子告示牌</w:t>
      </w:r>
      <w:r>
        <w:t>：</w:t>
      </w:r>
    </w:p>
    <w:p>
      <w:pPr>
        <w:ind w:firstLine="640"/>
      </w:pPr>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t>穿越城镇规划区上、下游；</w:t>
      </w:r>
    </w:p>
    <w:p>
      <w:pPr>
        <w:ind w:firstLine="640"/>
      </w:pP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t>水利工程重要的下水通道、取水口、电站等；</w:t>
      </w:r>
    </w:p>
    <w:p>
      <w:pPr>
        <w:ind w:firstLine="640"/>
      </w:pPr>
      <w:r>
        <w:fldChar w:fldCharType="begin"/>
      </w:r>
      <w:r>
        <w:instrText xml:space="preserve"> </w:instrText>
      </w:r>
      <w:r>
        <w:rPr>
          <w:rFonts w:hint="eastAsia"/>
        </w:rPr>
        <w:instrText xml:space="preserve">= 3 \* GB3</w:instrText>
      </w:r>
      <w:r>
        <w:instrText xml:space="preserve"> </w:instrText>
      </w:r>
      <w:r>
        <w:fldChar w:fldCharType="separate"/>
      </w:r>
      <w:r>
        <w:rPr>
          <w:rFonts w:hint="eastAsia"/>
        </w:rPr>
        <w:t>③</w:t>
      </w:r>
      <w:r>
        <w:fldChar w:fldCharType="end"/>
      </w:r>
      <w:r>
        <w:t>人口密集或人流聚集地点河湖岸；</w:t>
      </w:r>
    </w:p>
    <w:p>
      <w:pPr>
        <w:ind w:firstLine="640"/>
      </w:pPr>
      <w:r>
        <w:fldChar w:fldCharType="begin"/>
      </w:r>
      <w:r>
        <w:instrText xml:space="preserve"> </w:instrText>
      </w:r>
      <w:r>
        <w:rPr>
          <w:rFonts w:hint="eastAsia"/>
        </w:rPr>
        <w:instrText xml:space="preserve">= 4 \* GB3</w:instrText>
      </w:r>
      <w:r>
        <w:instrText xml:space="preserve"> </w:instrText>
      </w:r>
      <w:r>
        <w:fldChar w:fldCharType="separate"/>
      </w:r>
      <w:r>
        <w:rPr>
          <w:rFonts w:hint="eastAsia"/>
        </w:rPr>
        <w:t>④</w:t>
      </w:r>
      <w:r>
        <w:fldChar w:fldCharType="end"/>
      </w:r>
      <w:r>
        <w:t>水事纠纷和水事案件易发地段或行政界。</w:t>
      </w:r>
    </w:p>
    <w:p>
      <w:pPr>
        <w:pStyle w:val="4"/>
        <w:ind w:firstLine="640"/>
      </w:pPr>
      <w:bookmarkStart w:id="44" w:name="_Toc60738514"/>
      <w:r>
        <w:rPr>
          <w:rFonts w:hint="eastAsia"/>
        </w:rPr>
        <w:t>3</w:t>
      </w:r>
      <w:r>
        <w:t>.</w:t>
      </w:r>
      <w:r>
        <w:rPr>
          <w:rFonts w:hint="eastAsia"/>
        </w:rPr>
        <w:t>4</w:t>
      </w:r>
      <w:r>
        <w:t xml:space="preserve">.2 </w:t>
      </w:r>
      <w:r>
        <w:rPr>
          <w:rFonts w:hint="eastAsia"/>
        </w:rPr>
        <w:t>电子桩和电子告示牌布设密度</w:t>
      </w:r>
      <w:bookmarkEnd w:id="44"/>
    </w:p>
    <w:p>
      <w:pPr>
        <w:ind w:firstLine="640"/>
      </w:pPr>
      <w:r>
        <w:rPr>
          <w:rFonts w:hint="eastAsia"/>
        </w:rPr>
        <w:t>根据水利部印发的《河湖及水利工程界桩、告示牌制作安装标准》（建安〔</w:t>
      </w:r>
      <w:r>
        <w:t>2016〕87号），界桩密度为100~1000m，关键部位适当加密，相邻两界桩之间尽量相互通视。在水利工程无生产、生活等人类活动的陡崖、荒山、森林等地段，根据实际情况加大间距。</w:t>
      </w:r>
    </w:p>
    <w:p>
      <w:pPr>
        <w:ind w:firstLine="640"/>
      </w:pPr>
      <w:r>
        <w:rPr>
          <w:rFonts w:hint="eastAsia"/>
        </w:rPr>
        <w:t>对以下情况增设界桩：</w:t>
      </w:r>
    </w:p>
    <w:p>
      <w:pPr>
        <w:ind w:firstLine="640"/>
      </w:pPr>
      <w:r>
        <w:t>1）水利工程坝区、取水口、电站等重要设施处；</w:t>
      </w:r>
    </w:p>
    <w:p>
      <w:pPr>
        <w:ind w:firstLine="640"/>
      </w:pPr>
      <w:r>
        <w:t>2）水利工程拐弯（角度小于120</w:t>
      </w:r>
      <w:r>
        <w:rPr>
          <w:rFonts w:hint="eastAsia"/>
        </w:rPr>
        <w:t>°</w:t>
      </w:r>
      <w:r>
        <w:t>）处；</w:t>
      </w:r>
    </w:p>
    <w:p>
      <w:pPr>
        <w:ind w:firstLine="640"/>
      </w:pPr>
      <w:r>
        <w:t>3）水事纠纷和水事案件易发地段或县级以上行政区域边界。</w:t>
      </w:r>
    </w:p>
    <w:p>
      <w:pPr>
        <w:pStyle w:val="4"/>
        <w:ind w:firstLine="640"/>
      </w:pPr>
      <w:bookmarkStart w:id="45" w:name="_Toc60738515"/>
      <w:r>
        <w:rPr>
          <w:rFonts w:hint="eastAsia"/>
        </w:rPr>
        <w:t>3</w:t>
      </w:r>
      <w:r>
        <w:t>.</w:t>
      </w:r>
      <w:r>
        <w:rPr>
          <w:rFonts w:hint="eastAsia"/>
        </w:rPr>
        <w:t>4</w:t>
      </w:r>
      <w:r>
        <w:t xml:space="preserve">.3 </w:t>
      </w:r>
      <w:r>
        <w:rPr>
          <w:rFonts w:hint="eastAsia"/>
        </w:rPr>
        <w:t>管理与保护范围界桩编号原则</w:t>
      </w:r>
      <w:bookmarkEnd w:id="45"/>
    </w:p>
    <w:p>
      <w:pPr>
        <w:ind w:firstLine="640"/>
      </w:pPr>
      <w:r>
        <w:rPr>
          <w:rFonts w:hint="eastAsia"/>
        </w:rPr>
        <w:t>水库库区界桩序号按照先左岸后右岸编排；坝区界桩序号按照管理需要编排；灌区工程界桩编号从源头开始按照从上往下、从左至右方式分渠道续编界桩编号；水电站、水闸、泵站和其他水利工程编号按照管理需要编排。</w:t>
      </w:r>
    </w:p>
    <w:p>
      <w:pPr>
        <w:pStyle w:val="4"/>
        <w:ind w:firstLine="640"/>
      </w:pPr>
      <w:bookmarkStart w:id="46" w:name="_Toc60738516"/>
      <w:r>
        <w:rPr>
          <w:rFonts w:hint="eastAsia"/>
        </w:rPr>
        <w:t>3</w:t>
      </w:r>
      <w:r>
        <w:t>.</w:t>
      </w:r>
      <w:r>
        <w:rPr>
          <w:rFonts w:hint="eastAsia"/>
        </w:rPr>
        <w:t>4</w:t>
      </w:r>
      <w:r>
        <w:t xml:space="preserve">.4 </w:t>
      </w:r>
      <w:r>
        <w:rPr>
          <w:rFonts w:hint="eastAsia"/>
        </w:rPr>
        <w:t>管理与保护范围界桩编码规则</w:t>
      </w:r>
      <w:bookmarkEnd w:id="46"/>
    </w:p>
    <w:p>
      <w:pPr>
        <w:ind w:firstLine="640"/>
        <w:rPr>
          <w:color w:val="000000" w:themeColor="text1"/>
          <w14:textFill>
            <w14:solidFill>
              <w14:schemeClr w14:val="tx1"/>
            </w14:solidFill>
          </w14:textFill>
        </w:rPr>
      </w:pPr>
      <w:r>
        <w:rPr>
          <w:rFonts w:hint="eastAsia"/>
        </w:rPr>
        <w:t>水利工程界桩编码，按“水利工程名称首字母”</w:t>
      </w:r>
      <w:r>
        <w:t>-</w:t>
      </w:r>
      <w:r>
        <w:rPr>
          <w:rFonts w:hint="eastAsia"/>
        </w:rPr>
        <w:t>“</w:t>
      </w:r>
      <w:r>
        <w:t>水利工程类型首字母</w:t>
      </w:r>
      <w:r>
        <w:rPr>
          <w:rFonts w:hint="eastAsia"/>
        </w:rPr>
        <w:t>”</w:t>
      </w:r>
      <w:r>
        <w:t>（灌区为干渠名称）-</w:t>
      </w:r>
      <w:r>
        <w:rPr>
          <w:rFonts w:hint="eastAsia"/>
        </w:rPr>
        <w:t>“</w:t>
      </w:r>
      <w:r>
        <w:t>G（表示管理范围界桩）</w:t>
      </w:r>
      <w:r>
        <w:rPr>
          <w:rFonts w:hint="eastAsia"/>
        </w:rPr>
        <w:t>”</w:t>
      </w:r>
      <w:r>
        <w:t>或</w:t>
      </w:r>
      <w:r>
        <w:rPr>
          <w:rFonts w:hint="eastAsia"/>
        </w:rPr>
        <w:t>“</w:t>
      </w:r>
      <w:r>
        <w:t>B（保护范围界桩）</w:t>
      </w:r>
      <w:r>
        <w:rPr>
          <w:rFonts w:hint="eastAsia"/>
        </w:rPr>
        <w:t>”</w:t>
      </w:r>
      <w:r>
        <w:t>-</w:t>
      </w:r>
      <w:r>
        <w:rPr>
          <w:rFonts w:hint="eastAsia"/>
        </w:rPr>
        <w:t>“</w:t>
      </w:r>
      <w:r>
        <w:t>（L或R）顺序码</w:t>
      </w:r>
      <w:r>
        <w:rPr>
          <w:rFonts w:hint="eastAsia"/>
        </w:rPr>
        <w:t>”</w:t>
      </w:r>
      <w:r>
        <w:t>表示（堤防需要区分左右岸的以</w:t>
      </w:r>
      <w:r>
        <w:rPr>
          <w:rFonts w:hint="eastAsia"/>
        </w:rPr>
        <w:t>“</w:t>
      </w:r>
      <w:r>
        <w:t>L</w:t>
      </w:r>
      <w:r>
        <w:rPr>
          <w:rFonts w:hint="eastAsia"/>
        </w:rPr>
        <w:t>”“</w:t>
      </w:r>
      <w:r>
        <w:t>R</w:t>
      </w:r>
      <w:r>
        <w:rPr>
          <w:rFonts w:hint="eastAsia"/>
        </w:rPr>
        <w:t>”</w:t>
      </w:r>
      <w:r>
        <w:t>加顺序码区分）。其中</w:t>
      </w:r>
      <w:r>
        <w:rPr>
          <w:rFonts w:hint="eastAsia"/>
        </w:rPr>
        <w:t>“</w:t>
      </w:r>
      <w:r>
        <w:t>水利工程类型首字母</w:t>
      </w:r>
      <w:r>
        <w:rPr>
          <w:rFonts w:hint="eastAsia"/>
        </w:rPr>
        <w:t>”</w:t>
      </w:r>
      <w:r>
        <w:t>有如下表示：水库</w:t>
      </w:r>
      <w:r>
        <w:rPr>
          <w:rFonts w:hint="eastAsia"/>
        </w:rPr>
        <w:t>“</w:t>
      </w:r>
      <w:r>
        <w:t>SK</w:t>
      </w:r>
      <w:r>
        <w:rPr>
          <w:rFonts w:hint="eastAsia"/>
        </w:rPr>
        <w:t>”</w:t>
      </w:r>
      <w:r>
        <w:t>、水电站</w:t>
      </w:r>
      <w:r>
        <w:rPr>
          <w:rFonts w:hint="eastAsia"/>
        </w:rPr>
        <w:t>“</w:t>
      </w:r>
      <w:r>
        <w:t>SDZ</w:t>
      </w:r>
      <w:r>
        <w:rPr>
          <w:rFonts w:hint="eastAsia"/>
        </w:rPr>
        <w:t>”</w:t>
      </w:r>
      <w:r>
        <w:t>、水闸</w:t>
      </w:r>
      <w:r>
        <w:rPr>
          <w:rFonts w:hint="eastAsia"/>
        </w:rPr>
        <w:t>“</w:t>
      </w:r>
      <w:r>
        <w:t>SZ</w:t>
      </w:r>
      <w:r>
        <w:rPr>
          <w:rFonts w:hint="eastAsia"/>
        </w:rPr>
        <w:t>”</w:t>
      </w:r>
      <w:r>
        <w:t>、泵站</w:t>
      </w:r>
      <w:r>
        <w:rPr>
          <w:rFonts w:hint="eastAsia"/>
        </w:rPr>
        <w:t>“</w:t>
      </w:r>
      <w:r>
        <w:t>BZ</w:t>
      </w:r>
      <w:r>
        <w:rPr>
          <w:rFonts w:hint="eastAsia"/>
        </w:rPr>
        <w:t>”</w:t>
      </w:r>
      <w:r>
        <w:t>、堤防</w:t>
      </w:r>
      <w:r>
        <w:rPr>
          <w:rFonts w:hint="eastAsia"/>
        </w:rPr>
        <w:t>“</w:t>
      </w:r>
      <w:r>
        <w:t>DF</w:t>
      </w:r>
      <w:r>
        <w:rPr>
          <w:rFonts w:hint="eastAsia"/>
        </w:rPr>
        <w:t>”</w:t>
      </w:r>
      <w:r>
        <w:t>、灌区</w:t>
      </w:r>
      <w:r>
        <w:rPr>
          <w:rFonts w:hint="eastAsia"/>
        </w:rPr>
        <w:t>“</w:t>
      </w:r>
      <w:r>
        <w:t>GQ</w:t>
      </w:r>
      <w:r>
        <w:rPr>
          <w:rFonts w:hint="eastAsia"/>
        </w:rPr>
        <w:t>”</w:t>
      </w:r>
      <w:r>
        <w:t>。</w:t>
      </w:r>
      <w:r>
        <w:rPr>
          <w:color w:val="000000" w:themeColor="text1"/>
          <w14:textFill>
            <w14:solidFill>
              <w14:schemeClr w14:val="tx1"/>
            </w14:solidFill>
          </w14:textFill>
        </w:rPr>
        <w:t>例如</w:t>
      </w:r>
      <w:r>
        <w:rPr>
          <w:rFonts w:hint="eastAsia"/>
          <w:color w:val="000000" w:themeColor="text1"/>
          <w14:textFill>
            <w14:solidFill>
              <w14:schemeClr w14:val="tx1"/>
            </w14:solidFill>
          </w14:textFill>
        </w:rPr>
        <w:t>温井水库的管理范围</w:t>
      </w:r>
      <w:r>
        <w:rPr>
          <w:color w:val="000000" w:themeColor="text1"/>
          <w14:textFill>
            <w14:solidFill>
              <w14:schemeClr w14:val="tx1"/>
            </w14:solidFill>
          </w14:textFill>
        </w:rPr>
        <w:t>001号界桩表示为</w:t>
      </w:r>
      <w:r>
        <w:rPr>
          <w:rFonts w:hint="eastAsia"/>
          <w:color w:val="000000" w:themeColor="text1"/>
          <w14:textFill>
            <w14:solidFill>
              <w14:schemeClr w14:val="tx1"/>
            </w14:solidFill>
          </w14:textFill>
        </w:rPr>
        <w:t>“WJ</w:t>
      </w:r>
      <w:r>
        <w:rPr>
          <w:color w:val="000000" w:themeColor="text1"/>
          <w14:textFill>
            <w14:solidFill>
              <w14:schemeClr w14:val="tx1"/>
            </w14:solidFill>
          </w14:textFill>
        </w:rPr>
        <w:t>-SK-G001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，保护</w:t>
      </w:r>
      <w:r>
        <w:rPr>
          <w:rFonts w:hint="eastAsia"/>
          <w:color w:val="000000" w:themeColor="text1"/>
          <w14:textFill>
            <w14:solidFill>
              <w14:schemeClr w14:val="tx1"/>
            </w14:solidFill>
          </w14:textFill>
        </w:rPr>
        <w:t>范围</w:t>
      </w:r>
      <w:r>
        <w:rPr>
          <w:color w:val="000000" w:themeColor="text1"/>
          <w14:textFill>
            <w14:solidFill>
              <w14:schemeClr w14:val="tx1"/>
            </w14:solidFill>
          </w14:textFill>
        </w:rPr>
        <w:t>001号界桩表示为</w:t>
      </w:r>
      <w:r>
        <w:rPr>
          <w:rFonts w:hint="eastAsia"/>
          <w:color w:val="000000" w:themeColor="text1"/>
          <w14:textFill>
            <w14:solidFill>
              <w14:schemeClr w14:val="tx1"/>
            </w14:solidFill>
          </w14:textFill>
        </w:rPr>
        <w:t>“WJ</w:t>
      </w:r>
      <w:r>
        <w:rPr>
          <w:color w:val="000000" w:themeColor="text1"/>
          <w14:textFill>
            <w14:solidFill>
              <w14:schemeClr w14:val="tx1"/>
            </w14:solidFill>
          </w14:textFill>
        </w:rPr>
        <w:t>-SK</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B001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w:t>
      </w:r>
    </w:p>
    <w:p>
      <w:pPr>
        <w:pStyle w:val="4"/>
        <w:ind w:firstLine="640"/>
      </w:pPr>
      <w:bookmarkStart w:id="47" w:name="_Toc60738517"/>
      <w:r>
        <w:rPr>
          <w:rFonts w:hint="eastAsia"/>
        </w:rPr>
        <w:t>3</w:t>
      </w:r>
      <w:r>
        <w:t>.</w:t>
      </w:r>
      <w:r>
        <w:rPr>
          <w:rFonts w:hint="eastAsia"/>
        </w:rPr>
        <w:t>4</w:t>
      </w:r>
      <w:r>
        <w:t>.5 管理与保护范围告示牌编码规则</w:t>
      </w:r>
      <w:bookmarkEnd w:id="47"/>
    </w:p>
    <w:p>
      <w:pPr>
        <w:ind w:firstLine="640"/>
      </w:pPr>
      <w:r>
        <w:rPr>
          <w:rFonts w:hint="eastAsia"/>
        </w:rPr>
        <w:t>水利工程管理与保护范围告示牌，按“水利工程名称首字母”</w:t>
      </w:r>
      <w:r>
        <w:t>-</w:t>
      </w:r>
      <w:r>
        <w:rPr>
          <w:rFonts w:hint="eastAsia"/>
        </w:rPr>
        <w:t>“</w:t>
      </w:r>
      <w:r>
        <w:t>GSP</w:t>
      </w:r>
      <w:r>
        <w:rPr>
          <w:rFonts w:hint="eastAsia"/>
        </w:rPr>
        <w:t>”-“</w:t>
      </w:r>
      <w:r>
        <w:t>G（表示管理范围界桩）</w:t>
      </w:r>
      <w:r>
        <w:rPr>
          <w:rFonts w:hint="eastAsia"/>
        </w:rPr>
        <w:t>”</w:t>
      </w:r>
      <w:r>
        <w:t>或</w:t>
      </w:r>
      <w:r>
        <w:rPr>
          <w:rFonts w:hint="eastAsia"/>
        </w:rPr>
        <w:t>“</w:t>
      </w:r>
      <w:r>
        <w:t>B（保护范围界桩）</w:t>
      </w:r>
      <w:r>
        <w:rPr>
          <w:rFonts w:hint="eastAsia"/>
        </w:rPr>
        <w:t>”</w:t>
      </w:r>
      <w:r>
        <w:t>-</w:t>
      </w:r>
      <w:r>
        <w:rPr>
          <w:rFonts w:hint="eastAsia"/>
        </w:rPr>
        <w:t>“</w:t>
      </w:r>
      <w:r>
        <w:t>（L</w:t>
      </w:r>
      <w:r>
        <w:rPr>
          <w:rFonts w:hint="eastAsia"/>
        </w:rPr>
        <w:t>或</w:t>
      </w:r>
      <w:r>
        <w:t>R）顺序码</w:t>
      </w:r>
      <w:r>
        <w:rPr>
          <w:rFonts w:hint="eastAsia"/>
        </w:rPr>
        <w:t>”</w:t>
      </w:r>
      <w:r>
        <w:t>表示</w:t>
      </w:r>
      <w:r>
        <w:rPr>
          <w:rFonts w:hint="eastAsia"/>
        </w:rPr>
        <w:t>。例如温井水库的管理范围</w:t>
      </w:r>
      <w:r>
        <w:t>001号告示牌表示为</w:t>
      </w:r>
      <w:r>
        <w:rPr>
          <w:rFonts w:hint="eastAsia"/>
        </w:rPr>
        <w:t>“WJ</w:t>
      </w:r>
      <w:r>
        <w:t>-GSP-G001</w:t>
      </w:r>
      <w:r>
        <w:rPr>
          <w:rFonts w:hint="eastAsia"/>
        </w:rPr>
        <w:t>”</w:t>
      </w:r>
      <w:r>
        <w:t>，保护范围001号告示牌表示为</w:t>
      </w:r>
      <w:r>
        <w:rPr>
          <w:rFonts w:hint="eastAsia"/>
        </w:rPr>
        <w:t>“WJ</w:t>
      </w:r>
      <w:r>
        <w:t>-GSP-B001”。</w:t>
      </w:r>
    </w:p>
    <w:p>
      <w:pPr>
        <w:widowControl/>
        <w:spacing w:line="240" w:lineRule="auto"/>
        <w:ind w:firstLine="0" w:firstLineChars="0"/>
        <w:jc w:val="left"/>
        <w:rPr>
          <w:rFonts w:eastAsia="黑体" w:cs="Times New Roman"/>
          <w:b/>
          <w:sz w:val="28"/>
          <w:szCs w:val="28"/>
        </w:rPr>
      </w:pPr>
      <w:r>
        <w:rPr>
          <w:rFonts w:eastAsia="黑体" w:cs="Times New Roman"/>
          <w:b/>
          <w:sz w:val="28"/>
          <w:szCs w:val="28"/>
        </w:rPr>
        <w:br w:type="page"/>
      </w:r>
    </w:p>
    <w:p>
      <w:pPr>
        <w:pStyle w:val="2"/>
      </w:pPr>
      <w:bookmarkStart w:id="48" w:name="_Toc66222776"/>
      <w:bookmarkStart w:id="49" w:name="_Toc28871_WPSOffice_Level1"/>
      <w:bookmarkStart w:id="50" w:name="_Toc81993240"/>
      <w:r>
        <w:rPr>
          <w:rFonts w:hint="eastAsia"/>
        </w:rPr>
        <w:t>4</w:t>
      </w:r>
      <w:r>
        <w:t xml:space="preserve"> 管理与保护范围线核实勘定</w:t>
      </w:r>
      <w:bookmarkEnd w:id="48"/>
      <w:bookmarkEnd w:id="49"/>
      <w:bookmarkEnd w:id="50"/>
    </w:p>
    <w:p>
      <w:pPr>
        <w:ind w:firstLine="640"/>
      </w:pPr>
      <w:r>
        <w:rPr>
          <w:rFonts w:hint="eastAsia"/>
        </w:rPr>
        <w:t>经现场核实勘定</w:t>
      </w:r>
      <w:r>
        <w:t>后</w:t>
      </w:r>
      <w:r>
        <w:rPr>
          <w:rFonts w:hint="eastAsia"/>
        </w:rPr>
        <w:t>，最</w:t>
      </w:r>
      <w:r>
        <w:t>终</w:t>
      </w:r>
      <w:r>
        <w:rPr>
          <w:rFonts w:hint="eastAsia"/>
        </w:rPr>
        <w:t>确定的管理与保护范围</w:t>
      </w:r>
      <w:r>
        <w:t>线</w:t>
      </w:r>
      <w:r>
        <w:rPr>
          <w:rFonts w:hint="eastAsia"/>
        </w:rPr>
        <w:t>、电子界桩和电子告示牌统计情况</w:t>
      </w:r>
      <w:r>
        <w:t>如</w:t>
      </w:r>
      <w:r>
        <w:rPr>
          <w:rFonts w:hint="eastAsia"/>
        </w:rPr>
        <w:t>表4</w:t>
      </w:r>
      <w:r>
        <w:t>-1</w:t>
      </w:r>
      <w:r>
        <w:rPr>
          <w:rFonts w:hint="eastAsia"/>
        </w:rPr>
        <w:t>所示</w:t>
      </w:r>
      <w:r>
        <w:t>。</w:t>
      </w:r>
    </w:p>
    <w:p>
      <w:pPr>
        <w:pStyle w:val="58"/>
        <w:ind w:firstLine="422"/>
      </w:pPr>
      <w:r>
        <w:t>表</w:t>
      </w:r>
      <w:r>
        <w:rPr>
          <w:rFonts w:hint="eastAsia"/>
        </w:rPr>
        <w:t>4</w:t>
      </w:r>
      <w:r>
        <w:t>-1 管理</w:t>
      </w:r>
      <w:r>
        <w:rPr>
          <w:rFonts w:hint="eastAsia"/>
        </w:rPr>
        <w:t>与保护</w:t>
      </w:r>
      <w:r>
        <w:t>范围</w:t>
      </w:r>
      <w:r>
        <w:rPr>
          <w:rFonts w:hint="eastAsia"/>
        </w:rPr>
        <w:t>划定成果统计表</w:t>
      </w:r>
    </w:p>
    <w:tbl>
      <w:tblPr>
        <w:tblStyle w:val="30"/>
        <w:tblW w:w="8742" w:type="dxa"/>
        <w:tblInd w:w="0" w:type="dxa"/>
        <w:tblLayout w:type="fixed"/>
        <w:tblCellMar>
          <w:top w:w="0" w:type="dxa"/>
          <w:left w:w="108" w:type="dxa"/>
          <w:bottom w:w="0" w:type="dxa"/>
          <w:right w:w="108" w:type="dxa"/>
        </w:tblCellMar>
      </w:tblPr>
      <w:tblGrid>
        <w:gridCol w:w="1422"/>
        <w:gridCol w:w="1380"/>
        <w:gridCol w:w="1355"/>
        <w:gridCol w:w="1112"/>
        <w:gridCol w:w="1218"/>
        <w:gridCol w:w="1134"/>
        <w:gridCol w:w="1121"/>
      </w:tblGrid>
      <w:tr>
        <w:tblPrEx>
          <w:tblLayout w:type="fixed"/>
          <w:tblCellMar>
            <w:top w:w="0" w:type="dxa"/>
            <w:left w:w="108" w:type="dxa"/>
            <w:bottom w:w="0" w:type="dxa"/>
            <w:right w:w="108" w:type="dxa"/>
          </w:tblCellMar>
        </w:tblPrEx>
        <w:trPr>
          <w:trHeight w:val="315" w:hRule="atLeast"/>
          <w:tblHeader/>
        </w:trPr>
        <w:tc>
          <w:tcPr>
            <w:tcW w:w="142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7"/>
              <w:rPr>
                <w:rFonts w:eastAsia="黑体" w:cs="宋体"/>
                <w:b/>
                <w:kern w:val="0"/>
              </w:rPr>
            </w:pPr>
            <w:r>
              <w:rPr>
                <w:rFonts w:hint="eastAsia" w:eastAsia="黑体" w:cs="宋体"/>
                <w:b/>
                <w:kern w:val="0"/>
              </w:rPr>
              <w:t>工程名称</w:t>
            </w:r>
          </w:p>
        </w:tc>
        <w:tc>
          <w:tcPr>
            <w:tcW w:w="1380" w:type="dxa"/>
            <w:tcBorders>
              <w:top w:val="single" w:color="auto" w:sz="4" w:space="0"/>
              <w:left w:val="nil"/>
              <w:bottom w:val="single" w:color="auto" w:sz="4" w:space="0"/>
              <w:right w:val="single" w:color="auto" w:sz="4" w:space="0"/>
            </w:tcBorders>
            <w:shd w:val="clear" w:color="auto" w:fill="auto"/>
            <w:vAlign w:val="center"/>
          </w:tcPr>
          <w:p>
            <w:pPr>
              <w:pStyle w:val="37"/>
              <w:rPr>
                <w:rFonts w:eastAsia="黑体" w:cs="宋体"/>
                <w:b/>
                <w:kern w:val="0"/>
              </w:rPr>
            </w:pPr>
            <w:r>
              <w:rPr>
                <w:rFonts w:hint="eastAsia" w:eastAsia="黑体" w:cs="宋体"/>
                <w:b/>
                <w:kern w:val="0"/>
              </w:rPr>
              <w:t>管理范围线长度（千米）</w:t>
            </w:r>
          </w:p>
        </w:tc>
        <w:tc>
          <w:tcPr>
            <w:tcW w:w="1355" w:type="dxa"/>
            <w:tcBorders>
              <w:top w:val="single" w:color="auto" w:sz="4" w:space="0"/>
              <w:left w:val="nil"/>
              <w:bottom w:val="single" w:color="auto" w:sz="4" w:space="0"/>
              <w:right w:val="single" w:color="auto" w:sz="4" w:space="0"/>
            </w:tcBorders>
            <w:shd w:val="clear" w:color="auto" w:fill="auto"/>
            <w:vAlign w:val="center"/>
          </w:tcPr>
          <w:p>
            <w:pPr>
              <w:pStyle w:val="37"/>
              <w:rPr>
                <w:rFonts w:eastAsia="黑体" w:cs="宋体"/>
                <w:b/>
                <w:kern w:val="0"/>
              </w:rPr>
            </w:pPr>
            <w:r>
              <w:rPr>
                <w:rFonts w:hint="eastAsia" w:eastAsia="黑体" w:cs="宋体"/>
                <w:b/>
                <w:kern w:val="0"/>
              </w:rPr>
              <w:t>保护范围线长度(千米)</w:t>
            </w:r>
          </w:p>
        </w:tc>
        <w:tc>
          <w:tcPr>
            <w:tcW w:w="1112" w:type="dxa"/>
            <w:tcBorders>
              <w:top w:val="single" w:color="auto" w:sz="4" w:space="0"/>
              <w:left w:val="nil"/>
              <w:bottom w:val="single" w:color="auto" w:sz="4" w:space="0"/>
              <w:right w:val="single" w:color="auto" w:sz="4" w:space="0"/>
            </w:tcBorders>
            <w:shd w:val="clear" w:color="auto" w:fill="auto"/>
            <w:vAlign w:val="center"/>
          </w:tcPr>
          <w:p>
            <w:pPr>
              <w:pStyle w:val="37"/>
              <w:rPr>
                <w:rFonts w:eastAsia="黑体" w:cs="宋体"/>
                <w:b/>
                <w:kern w:val="0"/>
              </w:rPr>
            </w:pPr>
            <w:r>
              <w:rPr>
                <w:rFonts w:hint="eastAsia" w:eastAsia="黑体" w:cs="宋体"/>
                <w:b/>
                <w:kern w:val="0"/>
              </w:rPr>
              <w:t>界桩数量（个）</w:t>
            </w:r>
          </w:p>
        </w:tc>
        <w:tc>
          <w:tcPr>
            <w:tcW w:w="1218" w:type="dxa"/>
            <w:tcBorders>
              <w:top w:val="single" w:color="auto" w:sz="4" w:space="0"/>
              <w:left w:val="nil"/>
              <w:bottom w:val="single" w:color="auto" w:sz="4" w:space="0"/>
              <w:right w:val="single" w:color="auto" w:sz="4" w:space="0"/>
            </w:tcBorders>
            <w:shd w:val="clear" w:color="auto" w:fill="auto"/>
            <w:vAlign w:val="center"/>
          </w:tcPr>
          <w:p>
            <w:pPr>
              <w:pStyle w:val="37"/>
              <w:rPr>
                <w:rFonts w:eastAsia="黑体" w:cs="宋体"/>
                <w:b/>
                <w:kern w:val="0"/>
              </w:rPr>
            </w:pPr>
            <w:r>
              <w:rPr>
                <w:rFonts w:hint="eastAsia" w:eastAsia="黑体" w:cs="宋体"/>
                <w:b/>
                <w:kern w:val="0"/>
              </w:rPr>
              <w:t>告示牌数量（个）</w:t>
            </w:r>
          </w:p>
        </w:tc>
        <w:tc>
          <w:tcPr>
            <w:tcW w:w="1134" w:type="dxa"/>
            <w:tcBorders>
              <w:top w:val="single" w:color="auto" w:sz="4" w:space="0"/>
              <w:left w:val="nil"/>
              <w:bottom w:val="single" w:color="auto" w:sz="4" w:space="0"/>
              <w:right w:val="single" w:color="auto" w:sz="4" w:space="0"/>
            </w:tcBorders>
            <w:shd w:val="clear" w:color="auto" w:fill="auto"/>
            <w:vAlign w:val="center"/>
          </w:tcPr>
          <w:p>
            <w:pPr>
              <w:pStyle w:val="37"/>
              <w:rPr>
                <w:rFonts w:eastAsia="黑体" w:cs="宋体"/>
                <w:b/>
                <w:kern w:val="0"/>
              </w:rPr>
            </w:pPr>
            <w:r>
              <w:rPr>
                <w:rFonts w:hint="eastAsia" w:eastAsia="黑体" w:cs="宋体"/>
                <w:b/>
                <w:kern w:val="0"/>
              </w:rPr>
              <w:t>管理范围面积(亩）</w:t>
            </w:r>
          </w:p>
        </w:tc>
        <w:tc>
          <w:tcPr>
            <w:tcW w:w="1121" w:type="dxa"/>
            <w:tcBorders>
              <w:top w:val="single" w:color="auto" w:sz="4" w:space="0"/>
              <w:left w:val="nil"/>
              <w:bottom w:val="single" w:color="auto" w:sz="4" w:space="0"/>
              <w:right w:val="single" w:color="auto" w:sz="4" w:space="0"/>
            </w:tcBorders>
            <w:shd w:val="clear" w:color="auto" w:fill="auto"/>
            <w:vAlign w:val="center"/>
          </w:tcPr>
          <w:p>
            <w:pPr>
              <w:pStyle w:val="37"/>
              <w:rPr>
                <w:rFonts w:eastAsia="黑体" w:cs="宋体"/>
                <w:b/>
                <w:kern w:val="0"/>
              </w:rPr>
            </w:pPr>
            <w:r>
              <w:rPr>
                <w:rFonts w:hint="eastAsia" w:eastAsia="黑体" w:cs="宋体"/>
                <w:b/>
                <w:kern w:val="0"/>
              </w:rPr>
              <w:t>保护范围面积（亩）</w:t>
            </w:r>
          </w:p>
        </w:tc>
      </w:tr>
      <w:tr>
        <w:tblPrEx>
          <w:tblLayout w:type="fixed"/>
          <w:tblCellMar>
            <w:top w:w="0" w:type="dxa"/>
            <w:left w:w="108" w:type="dxa"/>
            <w:bottom w:w="0" w:type="dxa"/>
            <w:right w:w="108" w:type="dxa"/>
          </w:tblCellMar>
        </w:tblPrEx>
        <w:trPr>
          <w:trHeight w:val="315" w:hRule="atLeast"/>
        </w:trPr>
        <w:tc>
          <w:tcPr>
            <w:tcW w:w="1422" w:type="dxa"/>
            <w:tcBorders>
              <w:top w:val="nil"/>
              <w:left w:val="single" w:color="auto" w:sz="4" w:space="0"/>
              <w:bottom w:val="single" w:color="auto" w:sz="4" w:space="0"/>
              <w:right w:val="single" w:color="auto" w:sz="4" w:space="0"/>
            </w:tcBorders>
            <w:shd w:val="clear" w:color="auto" w:fill="auto"/>
            <w:vAlign w:val="center"/>
          </w:tcPr>
          <w:p>
            <w:pPr>
              <w:pStyle w:val="37"/>
            </w:pPr>
            <w:r>
              <w:rPr>
                <w:rFonts w:hint="eastAsia"/>
              </w:rPr>
              <w:t>温井水库</w:t>
            </w:r>
          </w:p>
        </w:tc>
        <w:tc>
          <w:tcPr>
            <w:tcW w:w="1380" w:type="dxa"/>
            <w:tcBorders>
              <w:top w:val="nil"/>
              <w:left w:val="nil"/>
              <w:bottom w:val="single" w:color="auto" w:sz="4" w:space="0"/>
              <w:right w:val="single" w:color="auto" w:sz="4" w:space="0"/>
            </w:tcBorders>
            <w:shd w:val="clear" w:color="auto" w:fill="auto"/>
            <w:vAlign w:val="center"/>
          </w:tcPr>
          <w:p>
            <w:pPr>
              <w:pStyle w:val="37"/>
            </w:pPr>
            <w:r>
              <w:rPr>
                <w:rFonts w:hint="eastAsia"/>
              </w:rPr>
              <w:t>5.27</w:t>
            </w:r>
          </w:p>
        </w:tc>
        <w:tc>
          <w:tcPr>
            <w:tcW w:w="1355" w:type="dxa"/>
            <w:tcBorders>
              <w:top w:val="nil"/>
              <w:left w:val="nil"/>
              <w:bottom w:val="single" w:color="auto" w:sz="4" w:space="0"/>
              <w:right w:val="single" w:color="auto" w:sz="4" w:space="0"/>
            </w:tcBorders>
            <w:shd w:val="clear" w:color="auto" w:fill="auto"/>
            <w:vAlign w:val="center"/>
          </w:tcPr>
          <w:p>
            <w:pPr>
              <w:pStyle w:val="37"/>
            </w:pPr>
            <w:r>
              <w:rPr>
                <w:rFonts w:hint="eastAsia"/>
              </w:rPr>
              <w:t>4.73</w:t>
            </w:r>
          </w:p>
        </w:tc>
        <w:tc>
          <w:tcPr>
            <w:tcW w:w="1112" w:type="dxa"/>
            <w:tcBorders>
              <w:top w:val="nil"/>
              <w:left w:val="nil"/>
              <w:bottom w:val="single" w:color="auto" w:sz="4" w:space="0"/>
              <w:right w:val="single" w:color="auto" w:sz="4" w:space="0"/>
            </w:tcBorders>
            <w:shd w:val="clear" w:color="auto" w:fill="auto"/>
            <w:vAlign w:val="center"/>
          </w:tcPr>
          <w:p>
            <w:pPr>
              <w:pStyle w:val="37"/>
            </w:pPr>
            <w:r>
              <w:rPr>
                <w:rFonts w:hint="eastAsia"/>
              </w:rPr>
              <w:t>101</w:t>
            </w:r>
          </w:p>
        </w:tc>
        <w:tc>
          <w:tcPr>
            <w:tcW w:w="1218" w:type="dxa"/>
            <w:tcBorders>
              <w:top w:val="nil"/>
              <w:left w:val="nil"/>
              <w:bottom w:val="single" w:color="auto" w:sz="4" w:space="0"/>
              <w:right w:val="single" w:color="auto" w:sz="4" w:space="0"/>
            </w:tcBorders>
            <w:shd w:val="clear" w:color="auto" w:fill="auto"/>
            <w:vAlign w:val="center"/>
          </w:tcPr>
          <w:p>
            <w:pPr>
              <w:pStyle w:val="37"/>
            </w:pPr>
            <w:r>
              <w:rPr>
                <w:rFonts w:hint="eastAsia"/>
              </w:rPr>
              <w:t>2</w:t>
            </w:r>
          </w:p>
        </w:tc>
        <w:tc>
          <w:tcPr>
            <w:tcW w:w="1134" w:type="dxa"/>
            <w:tcBorders>
              <w:top w:val="nil"/>
              <w:left w:val="nil"/>
              <w:bottom w:val="single" w:color="auto" w:sz="4" w:space="0"/>
              <w:right w:val="single" w:color="auto" w:sz="4" w:space="0"/>
            </w:tcBorders>
            <w:shd w:val="clear" w:color="auto" w:fill="auto"/>
            <w:vAlign w:val="center"/>
          </w:tcPr>
          <w:p>
            <w:pPr>
              <w:pStyle w:val="37"/>
            </w:pPr>
            <w:r>
              <w:rPr>
                <w:rFonts w:hint="eastAsia"/>
              </w:rPr>
              <w:t>369.884</w:t>
            </w:r>
          </w:p>
        </w:tc>
        <w:tc>
          <w:tcPr>
            <w:tcW w:w="1121" w:type="dxa"/>
            <w:tcBorders>
              <w:top w:val="nil"/>
              <w:left w:val="nil"/>
              <w:bottom w:val="single" w:color="auto" w:sz="4" w:space="0"/>
              <w:right w:val="single" w:color="auto" w:sz="4" w:space="0"/>
            </w:tcBorders>
            <w:shd w:val="clear" w:color="auto" w:fill="auto"/>
            <w:vAlign w:val="center"/>
          </w:tcPr>
          <w:p>
            <w:pPr>
              <w:pStyle w:val="37"/>
            </w:pPr>
            <w:r>
              <w:rPr>
                <w:rFonts w:hint="eastAsia"/>
              </w:rPr>
              <w:t>132.502</w:t>
            </w:r>
          </w:p>
        </w:tc>
      </w:tr>
      <w:tr>
        <w:tblPrEx>
          <w:tblLayout w:type="fixed"/>
          <w:tblCellMar>
            <w:top w:w="0" w:type="dxa"/>
            <w:left w:w="108" w:type="dxa"/>
            <w:bottom w:w="0" w:type="dxa"/>
            <w:right w:w="108" w:type="dxa"/>
          </w:tblCellMar>
        </w:tblPrEx>
        <w:trPr>
          <w:trHeight w:val="315" w:hRule="atLeast"/>
        </w:trPr>
        <w:tc>
          <w:tcPr>
            <w:tcW w:w="1422" w:type="dxa"/>
            <w:tcBorders>
              <w:top w:val="nil"/>
              <w:left w:val="single" w:color="auto" w:sz="4" w:space="0"/>
              <w:bottom w:val="single" w:color="auto" w:sz="4" w:space="0"/>
              <w:right w:val="single" w:color="auto" w:sz="4" w:space="0"/>
            </w:tcBorders>
            <w:shd w:val="clear" w:color="auto" w:fill="auto"/>
            <w:vAlign w:val="center"/>
          </w:tcPr>
          <w:p>
            <w:pPr>
              <w:pStyle w:val="37"/>
            </w:pPr>
            <w:r>
              <w:rPr>
                <w:rFonts w:hint="eastAsia"/>
              </w:rPr>
              <w:t>毛坪水库</w:t>
            </w:r>
          </w:p>
        </w:tc>
        <w:tc>
          <w:tcPr>
            <w:tcW w:w="1380" w:type="dxa"/>
            <w:tcBorders>
              <w:top w:val="nil"/>
              <w:left w:val="nil"/>
              <w:bottom w:val="single" w:color="auto" w:sz="4" w:space="0"/>
              <w:right w:val="single" w:color="auto" w:sz="4" w:space="0"/>
            </w:tcBorders>
            <w:shd w:val="clear" w:color="auto" w:fill="auto"/>
            <w:vAlign w:val="center"/>
          </w:tcPr>
          <w:p>
            <w:pPr>
              <w:pStyle w:val="37"/>
            </w:pPr>
            <w:r>
              <w:rPr>
                <w:rFonts w:hint="eastAsia"/>
              </w:rPr>
              <w:t>6.02</w:t>
            </w:r>
          </w:p>
        </w:tc>
        <w:tc>
          <w:tcPr>
            <w:tcW w:w="1355" w:type="dxa"/>
            <w:tcBorders>
              <w:top w:val="nil"/>
              <w:left w:val="nil"/>
              <w:bottom w:val="single" w:color="auto" w:sz="4" w:space="0"/>
              <w:right w:val="single" w:color="auto" w:sz="4" w:space="0"/>
            </w:tcBorders>
            <w:shd w:val="clear" w:color="auto" w:fill="auto"/>
            <w:vAlign w:val="center"/>
          </w:tcPr>
          <w:p>
            <w:pPr>
              <w:pStyle w:val="37"/>
            </w:pPr>
            <w:r>
              <w:rPr>
                <w:rFonts w:hint="eastAsia"/>
              </w:rPr>
              <w:t>4.52</w:t>
            </w:r>
          </w:p>
        </w:tc>
        <w:tc>
          <w:tcPr>
            <w:tcW w:w="1112" w:type="dxa"/>
            <w:tcBorders>
              <w:top w:val="nil"/>
              <w:left w:val="nil"/>
              <w:bottom w:val="single" w:color="auto" w:sz="4" w:space="0"/>
              <w:right w:val="single" w:color="auto" w:sz="4" w:space="0"/>
            </w:tcBorders>
            <w:shd w:val="clear" w:color="auto" w:fill="auto"/>
            <w:vAlign w:val="center"/>
          </w:tcPr>
          <w:p>
            <w:pPr>
              <w:pStyle w:val="37"/>
            </w:pPr>
            <w:r>
              <w:rPr>
                <w:rFonts w:hint="eastAsia"/>
              </w:rPr>
              <w:t>70</w:t>
            </w:r>
          </w:p>
        </w:tc>
        <w:tc>
          <w:tcPr>
            <w:tcW w:w="1218" w:type="dxa"/>
            <w:tcBorders>
              <w:top w:val="nil"/>
              <w:left w:val="nil"/>
              <w:bottom w:val="single" w:color="auto" w:sz="4" w:space="0"/>
              <w:right w:val="single" w:color="auto" w:sz="4" w:space="0"/>
            </w:tcBorders>
            <w:shd w:val="clear" w:color="auto" w:fill="auto"/>
            <w:vAlign w:val="center"/>
          </w:tcPr>
          <w:p>
            <w:pPr>
              <w:pStyle w:val="37"/>
            </w:pPr>
            <w:r>
              <w:rPr>
                <w:rFonts w:hint="eastAsia"/>
              </w:rPr>
              <w:t>2</w:t>
            </w:r>
          </w:p>
        </w:tc>
        <w:tc>
          <w:tcPr>
            <w:tcW w:w="1134" w:type="dxa"/>
            <w:tcBorders>
              <w:top w:val="nil"/>
              <w:left w:val="nil"/>
              <w:bottom w:val="single" w:color="auto" w:sz="4" w:space="0"/>
              <w:right w:val="single" w:color="auto" w:sz="4" w:space="0"/>
            </w:tcBorders>
            <w:shd w:val="clear" w:color="auto" w:fill="auto"/>
            <w:vAlign w:val="center"/>
          </w:tcPr>
          <w:p>
            <w:pPr>
              <w:pStyle w:val="37"/>
            </w:pPr>
            <w:r>
              <w:rPr>
                <w:rFonts w:hint="eastAsia"/>
              </w:rPr>
              <w:t>411.451</w:t>
            </w:r>
          </w:p>
        </w:tc>
        <w:tc>
          <w:tcPr>
            <w:tcW w:w="1121" w:type="dxa"/>
            <w:tcBorders>
              <w:top w:val="nil"/>
              <w:left w:val="nil"/>
              <w:bottom w:val="single" w:color="auto" w:sz="4" w:space="0"/>
              <w:right w:val="single" w:color="auto" w:sz="4" w:space="0"/>
            </w:tcBorders>
            <w:shd w:val="clear" w:color="auto" w:fill="auto"/>
            <w:vAlign w:val="center"/>
          </w:tcPr>
          <w:p>
            <w:pPr>
              <w:pStyle w:val="37"/>
            </w:pPr>
            <w:r>
              <w:rPr>
                <w:rFonts w:hint="eastAsia"/>
              </w:rPr>
              <w:t>162.235</w:t>
            </w:r>
          </w:p>
        </w:tc>
      </w:tr>
      <w:tr>
        <w:tblPrEx>
          <w:tblLayout w:type="fixed"/>
          <w:tblCellMar>
            <w:top w:w="0" w:type="dxa"/>
            <w:left w:w="108" w:type="dxa"/>
            <w:bottom w:w="0" w:type="dxa"/>
            <w:right w:w="108" w:type="dxa"/>
          </w:tblCellMar>
        </w:tblPrEx>
        <w:trPr>
          <w:trHeight w:val="315" w:hRule="atLeast"/>
        </w:trPr>
        <w:tc>
          <w:tcPr>
            <w:tcW w:w="1422" w:type="dxa"/>
            <w:tcBorders>
              <w:top w:val="nil"/>
              <w:left w:val="single" w:color="auto" w:sz="4" w:space="0"/>
              <w:bottom w:val="single" w:color="auto" w:sz="4" w:space="0"/>
              <w:right w:val="single" w:color="auto" w:sz="4" w:space="0"/>
            </w:tcBorders>
            <w:shd w:val="clear" w:color="auto" w:fill="auto"/>
            <w:vAlign w:val="center"/>
          </w:tcPr>
          <w:p>
            <w:pPr>
              <w:pStyle w:val="37"/>
              <w:rPr>
                <w:highlight w:val="yellow"/>
              </w:rPr>
            </w:pPr>
            <w:r>
              <w:rPr>
                <w:rFonts w:hint="eastAsia"/>
              </w:rPr>
              <w:t>坝头冲水库</w:t>
            </w:r>
          </w:p>
        </w:tc>
        <w:tc>
          <w:tcPr>
            <w:tcW w:w="1380" w:type="dxa"/>
            <w:tcBorders>
              <w:top w:val="nil"/>
              <w:left w:val="nil"/>
              <w:bottom w:val="single" w:color="auto" w:sz="4" w:space="0"/>
              <w:right w:val="single" w:color="auto" w:sz="4" w:space="0"/>
            </w:tcBorders>
            <w:shd w:val="clear" w:color="auto" w:fill="auto"/>
            <w:vAlign w:val="center"/>
          </w:tcPr>
          <w:p>
            <w:pPr>
              <w:pStyle w:val="37"/>
            </w:pPr>
            <w:r>
              <w:rPr>
                <w:rFonts w:hint="eastAsia"/>
              </w:rPr>
              <w:t>2.20</w:t>
            </w:r>
          </w:p>
        </w:tc>
        <w:tc>
          <w:tcPr>
            <w:tcW w:w="1355" w:type="dxa"/>
            <w:tcBorders>
              <w:top w:val="nil"/>
              <w:left w:val="nil"/>
              <w:bottom w:val="single" w:color="auto" w:sz="4" w:space="0"/>
              <w:right w:val="single" w:color="auto" w:sz="4" w:space="0"/>
            </w:tcBorders>
            <w:shd w:val="clear" w:color="auto" w:fill="auto"/>
            <w:vAlign w:val="center"/>
          </w:tcPr>
          <w:p>
            <w:pPr>
              <w:pStyle w:val="37"/>
            </w:pPr>
            <w:r>
              <w:rPr>
                <w:rFonts w:hint="eastAsia"/>
              </w:rPr>
              <w:t>2.30</w:t>
            </w:r>
          </w:p>
        </w:tc>
        <w:tc>
          <w:tcPr>
            <w:tcW w:w="1112" w:type="dxa"/>
            <w:tcBorders>
              <w:top w:val="nil"/>
              <w:left w:val="nil"/>
              <w:bottom w:val="single" w:color="auto" w:sz="4" w:space="0"/>
              <w:right w:val="single" w:color="auto" w:sz="4" w:space="0"/>
            </w:tcBorders>
            <w:shd w:val="clear" w:color="auto" w:fill="auto"/>
            <w:vAlign w:val="center"/>
          </w:tcPr>
          <w:p>
            <w:pPr>
              <w:pStyle w:val="37"/>
            </w:pPr>
            <w:r>
              <w:rPr>
                <w:rFonts w:hint="eastAsia"/>
              </w:rPr>
              <w:t>59</w:t>
            </w:r>
          </w:p>
        </w:tc>
        <w:tc>
          <w:tcPr>
            <w:tcW w:w="1218" w:type="dxa"/>
            <w:tcBorders>
              <w:top w:val="nil"/>
              <w:left w:val="nil"/>
              <w:bottom w:val="single" w:color="auto" w:sz="4" w:space="0"/>
              <w:right w:val="single" w:color="auto" w:sz="4" w:space="0"/>
            </w:tcBorders>
            <w:shd w:val="clear" w:color="auto" w:fill="auto"/>
            <w:vAlign w:val="center"/>
          </w:tcPr>
          <w:p>
            <w:pPr>
              <w:pStyle w:val="37"/>
            </w:pPr>
            <w:r>
              <w:rPr>
                <w:rFonts w:hint="eastAsia"/>
              </w:rPr>
              <w:t>2</w:t>
            </w:r>
          </w:p>
        </w:tc>
        <w:tc>
          <w:tcPr>
            <w:tcW w:w="1134" w:type="dxa"/>
            <w:tcBorders>
              <w:top w:val="nil"/>
              <w:left w:val="nil"/>
              <w:bottom w:val="single" w:color="auto" w:sz="4" w:space="0"/>
              <w:right w:val="single" w:color="auto" w:sz="4" w:space="0"/>
            </w:tcBorders>
            <w:shd w:val="clear" w:color="auto" w:fill="auto"/>
            <w:vAlign w:val="center"/>
          </w:tcPr>
          <w:p>
            <w:pPr>
              <w:pStyle w:val="37"/>
            </w:pPr>
            <w:r>
              <w:rPr>
                <w:rFonts w:hint="eastAsia"/>
              </w:rPr>
              <w:t>120.291</w:t>
            </w:r>
          </w:p>
        </w:tc>
        <w:tc>
          <w:tcPr>
            <w:tcW w:w="1121" w:type="dxa"/>
            <w:tcBorders>
              <w:top w:val="nil"/>
              <w:left w:val="nil"/>
              <w:bottom w:val="single" w:color="auto" w:sz="4" w:space="0"/>
              <w:right w:val="single" w:color="auto" w:sz="4" w:space="0"/>
            </w:tcBorders>
            <w:shd w:val="clear" w:color="auto" w:fill="auto"/>
            <w:vAlign w:val="center"/>
          </w:tcPr>
          <w:p>
            <w:pPr>
              <w:pStyle w:val="37"/>
            </w:pPr>
            <w:r>
              <w:rPr>
                <w:rFonts w:hint="eastAsia"/>
              </w:rPr>
              <w:t>99.993</w:t>
            </w:r>
          </w:p>
        </w:tc>
      </w:tr>
      <w:tr>
        <w:tblPrEx>
          <w:tblLayout w:type="fixed"/>
          <w:tblCellMar>
            <w:top w:w="0" w:type="dxa"/>
            <w:left w:w="108" w:type="dxa"/>
            <w:bottom w:w="0" w:type="dxa"/>
            <w:right w:w="108" w:type="dxa"/>
          </w:tblCellMar>
        </w:tblPrEx>
        <w:trPr>
          <w:trHeight w:val="315" w:hRule="atLeast"/>
        </w:trPr>
        <w:tc>
          <w:tcPr>
            <w:tcW w:w="1422" w:type="dxa"/>
            <w:tcBorders>
              <w:top w:val="nil"/>
              <w:left w:val="single" w:color="auto" w:sz="4" w:space="0"/>
              <w:bottom w:val="single" w:color="auto" w:sz="4" w:space="0"/>
              <w:right w:val="single" w:color="auto" w:sz="4" w:space="0"/>
            </w:tcBorders>
            <w:shd w:val="clear" w:color="auto" w:fill="auto"/>
            <w:vAlign w:val="center"/>
          </w:tcPr>
          <w:p>
            <w:pPr>
              <w:pStyle w:val="37"/>
            </w:pPr>
            <w:r>
              <w:rPr>
                <w:rFonts w:hint="eastAsia"/>
              </w:rPr>
              <w:t>双溪桥水库</w:t>
            </w:r>
          </w:p>
        </w:tc>
        <w:tc>
          <w:tcPr>
            <w:tcW w:w="1380" w:type="dxa"/>
            <w:tcBorders>
              <w:top w:val="nil"/>
              <w:left w:val="nil"/>
              <w:bottom w:val="single" w:color="auto" w:sz="4" w:space="0"/>
              <w:right w:val="single" w:color="auto" w:sz="4" w:space="0"/>
            </w:tcBorders>
            <w:shd w:val="clear" w:color="auto" w:fill="auto"/>
            <w:vAlign w:val="center"/>
          </w:tcPr>
          <w:p>
            <w:pPr>
              <w:pStyle w:val="37"/>
            </w:pPr>
            <w:r>
              <w:rPr>
                <w:rFonts w:hint="eastAsia"/>
              </w:rPr>
              <w:t>5.86</w:t>
            </w:r>
          </w:p>
        </w:tc>
        <w:tc>
          <w:tcPr>
            <w:tcW w:w="1355" w:type="dxa"/>
            <w:tcBorders>
              <w:top w:val="nil"/>
              <w:left w:val="nil"/>
              <w:bottom w:val="single" w:color="auto" w:sz="4" w:space="0"/>
              <w:right w:val="single" w:color="auto" w:sz="4" w:space="0"/>
            </w:tcBorders>
            <w:shd w:val="clear" w:color="auto" w:fill="auto"/>
            <w:vAlign w:val="center"/>
          </w:tcPr>
          <w:p>
            <w:pPr>
              <w:pStyle w:val="37"/>
            </w:pPr>
            <w:r>
              <w:rPr>
                <w:rFonts w:hint="eastAsia"/>
              </w:rPr>
              <w:t>5.86</w:t>
            </w:r>
          </w:p>
        </w:tc>
        <w:tc>
          <w:tcPr>
            <w:tcW w:w="1112" w:type="dxa"/>
            <w:tcBorders>
              <w:top w:val="nil"/>
              <w:left w:val="nil"/>
              <w:bottom w:val="single" w:color="auto" w:sz="4" w:space="0"/>
              <w:right w:val="single" w:color="auto" w:sz="4" w:space="0"/>
            </w:tcBorders>
            <w:shd w:val="clear" w:color="auto" w:fill="auto"/>
            <w:vAlign w:val="center"/>
          </w:tcPr>
          <w:p>
            <w:pPr>
              <w:pStyle w:val="37"/>
            </w:pPr>
            <w:r>
              <w:rPr>
                <w:rFonts w:hint="eastAsia"/>
              </w:rPr>
              <w:t>126</w:t>
            </w:r>
          </w:p>
        </w:tc>
        <w:tc>
          <w:tcPr>
            <w:tcW w:w="1218" w:type="dxa"/>
            <w:tcBorders>
              <w:top w:val="nil"/>
              <w:left w:val="nil"/>
              <w:bottom w:val="single" w:color="auto" w:sz="4" w:space="0"/>
              <w:right w:val="single" w:color="auto" w:sz="4" w:space="0"/>
            </w:tcBorders>
            <w:shd w:val="clear" w:color="auto" w:fill="auto"/>
            <w:vAlign w:val="center"/>
          </w:tcPr>
          <w:p>
            <w:pPr>
              <w:pStyle w:val="37"/>
            </w:pPr>
            <w:r>
              <w:rPr>
                <w:rFonts w:hint="eastAsia"/>
              </w:rPr>
              <w:t>2</w:t>
            </w:r>
          </w:p>
        </w:tc>
        <w:tc>
          <w:tcPr>
            <w:tcW w:w="1134" w:type="dxa"/>
            <w:tcBorders>
              <w:top w:val="nil"/>
              <w:left w:val="nil"/>
              <w:bottom w:val="single" w:color="auto" w:sz="4" w:space="0"/>
              <w:right w:val="single" w:color="auto" w:sz="4" w:space="0"/>
            </w:tcBorders>
            <w:shd w:val="clear" w:color="auto" w:fill="auto"/>
            <w:vAlign w:val="center"/>
          </w:tcPr>
          <w:p>
            <w:pPr>
              <w:pStyle w:val="37"/>
            </w:pPr>
            <w:r>
              <w:rPr>
                <w:rFonts w:hint="eastAsia"/>
              </w:rPr>
              <w:t>295.707</w:t>
            </w:r>
          </w:p>
        </w:tc>
        <w:tc>
          <w:tcPr>
            <w:tcW w:w="1121" w:type="dxa"/>
            <w:tcBorders>
              <w:top w:val="nil"/>
              <w:left w:val="nil"/>
              <w:bottom w:val="single" w:color="auto" w:sz="4" w:space="0"/>
              <w:right w:val="single" w:color="auto" w:sz="4" w:space="0"/>
            </w:tcBorders>
            <w:shd w:val="clear" w:color="auto" w:fill="auto"/>
            <w:vAlign w:val="center"/>
          </w:tcPr>
          <w:p>
            <w:pPr>
              <w:pStyle w:val="37"/>
            </w:pPr>
            <w:r>
              <w:rPr>
                <w:rFonts w:hint="eastAsia"/>
              </w:rPr>
              <w:t>198.585</w:t>
            </w:r>
          </w:p>
        </w:tc>
      </w:tr>
      <w:tr>
        <w:tblPrEx>
          <w:tblLayout w:type="fixed"/>
          <w:tblCellMar>
            <w:top w:w="0" w:type="dxa"/>
            <w:left w:w="108" w:type="dxa"/>
            <w:bottom w:w="0" w:type="dxa"/>
            <w:right w:w="108" w:type="dxa"/>
          </w:tblCellMar>
        </w:tblPrEx>
        <w:trPr>
          <w:trHeight w:val="315" w:hRule="atLeast"/>
        </w:trPr>
        <w:tc>
          <w:tcPr>
            <w:tcW w:w="1422" w:type="dxa"/>
            <w:tcBorders>
              <w:top w:val="nil"/>
              <w:left w:val="single" w:color="auto" w:sz="4" w:space="0"/>
              <w:bottom w:val="single" w:color="auto" w:sz="4" w:space="0"/>
              <w:right w:val="single" w:color="auto" w:sz="4" w:space="0"/>
            </w:tcBorders>
            <w:shd w:val="clear" w:color="auto" w:fill="auto"/>
            <w:vAlign w:val="center"/>
          </w:tcPr>
          <w:p>
            <w:pPr>
              <w:pStyle w:val="37"/>
            </w:pPr>
            <w:r>
              <w:rPr>
                <w:rFonts w:hint="eastAsia"/>
              </w:rPr>
              <w:t>大河江水库</w:t>
            </w:r>
          </w:p>
        </w:tc>
        <w:tc>
          <w:tcPr>
            <w:tcW w:w="1380" w:type="dxa"/>
            <w:tcBorders>
              <w:top w:val="nil"/>
              <w:left w:val="nil"/>
              <w:bottom w:val="single" w:color="auto" w:sz="4" w:space="0"/>
              <w:right w:val="single" w:color="auto" w:sz="4" w:space="0"/>
            </w:tcBorders>
            <w:shd w:val="clear" w:color="auto" w:fill="auto"/>
            <w:vAlign w:val="center"/>
          </w:tcPr>
          <w:p>
            <w:pPr>
              <w:pStyle w:val="37"/>
            </w:pPr>
            <w:r>
              <w:rPr>
                <w:rFonts w:hint="eastAsia"/>
              </w:rPr>
              <w:t>2.40</w:t>
            </w:r>
          </w:p>
        </w:tc>
        <w:tc>
          <w:tcPr>
            <w:tcW w:w="1355" w:type="dxa"/>
            <w:tcBorders>
              <w:top w:val="nil"/>
              <w:left w:val="nil"/>
              <w:bottom w:val="single" w:color="auto" w:sz="4" w:space="0"/>
              <w:right w:val="single" w:color="auto" w:sz="4" w:space="0"/>
            </w:tcBorders>
            <w:shd w:val="clear" w:color="auto" w:fill="auto"/>
            <w:vAlign w:val="center"/>
          </w:tcPr>
          <w:p>
            <w:pPr>
              <w:pStyle w:val="37"/>
            </w:pPr>
            <w:r>
              <w:rPr>
                <w:rFonts w:hint="eastAsia"/>
              </w:rPr>
              <w:t>2.46</w:t>
            </w:r>
          </w:p>
        </w:tc>
        <w:tc>
          <w:tcPr>
            <w:tcW w:w="1112" w:type="dxa"/>
            <w:tcBorders>
              <w:top w:val="nil"/>
              <w:left w:val="nil"/>
              <w:bottom w:val="single" w:color="auto" w:sz="4" w:space="0"/>
              <w:right w:val="single" w:color="auto" w:sz="4" w:space="0"/>
            </w:tcBorders>
            <w:shd w:val="clear" w:color="auto" w:fill="auto"/>
            <w:vAlign w:val="center"/>
          </w:tcPr>
          <w:p>
            <w:pPr>
              <w:pStyle w:val="37"/>
            </w:pPr>
            <w:r>
              <w:rPr>
                <w:rFonts w:hint="eastAsia"/>
              </w:rPr>
              <w:t>42</w:t>
            </w:r>
          </w:p>
        </w:tc>
        <w:tc>
          <w:tcPr>
            <w:tcW w:w="1218" w:type="dxa"/>
            <w:tcBorders>
              <w:top w:val="nil"/>
              <w:left w:val="nil"/>
              <w:bottom w:val="single" w:color="auto" w:sz="4" w:space="0"/>
              <w:right w:val="single" w:color="auto" w:sz="4" w:space="0"/>
            </w:tcBorders>
            <w:shd w:val="clear" w:color="auto" w:fill="auto"/>
            <w:vAlign w:val="center"/>
          </w:tcPr>
          <w:p>
            <w:pPr>
              <w:pStyle w:val="37"/>
            </w:pPr>
            <w:r>
              <w:rPr>
                <w:rFonts w:hint="eastAsia"/>
              </w:rPr>
              <w:t>2</w:t>
            </w:r>
          </w:p>
        </w:tc>
        <w:tc>
          <w:tcPr>
            <w:tcW w:w="1134" w:type="dxa"/>
            <w:tcBorders>
              <w:top w:val="nil"/>
              <w:left w:val="nil"/>
              <w:bottom w:val="single" w:color="auto" w:sz="4" w:space="0"/>
              <w:right w:val="single" w:color="auto" w:sz="4" w:space="0"/>
            </w:tcBorders>
            <w:shd w:val="clear" w:color="auto" w:fill="auto"/>
            <w:vAlign w:val="center"/>
          </w:tcPr>
          <w:p>
            <w:pPr>
              <w:pStyle w:val="37"/>
            </w:pPr>
            <w:r>
              <w:rPr>
                <w:rFonts w:hint="eastAsia"/>
              </w:rPr>
              <w:t>191.401</w:t>
            </w:r>
          </w:p>
        </w:tc>
        <w:tc>
          <w:tcPr>
            <w:tcW w:w="1121" w:type="dxa"/>
            <w:tcBorders>
              <w:top w:val="nil"/>
              <w:left w:val="nil"/>
              <w:bottom w:val="single" w:color="auto" w:sz="4" w:space="0"/>
              <w:right w:val="single" w:color="auto" w:sz="4" w:space="0"/>
            </w:tcBorders>
            <w:shd w:val="clear" w:color="auto" w:fill="auto"/>
            <w:vAlign w:val="center"/>
          </w:tcPr>
          <w:p>
            <w:pPr>
              <w:pStyle w:val="37"/>
            </w:pPr>
            <w:r>
              <w:rPr>
                <w:rFonts w:hint="eastAsia"/>
              </w:rPr>
              <w:t>108.643</w:t>
            </w:r>
          </w:p>
        </w:tc>
      </w:tr>
      <w:tr>
        <w:tblPrEx>
          <w:tblLayout w:type="fixed"/>
          <w:tblCellMar>
            <w:top w:w="0" w:type="dxa"/>
            <w:left w:w="108" w:type="dxa"/>
            <w:bottom w:w="0" w:type="dxa"/>
            <w:right w:w="108" w:type="dxa"/>
          </w:tblCellMar>
        </w:tblPrEx>
        <w:trPr>
          <w:trHeight w:val="315" w:hRule="atLeast"/>
        </w:trPr>
        <w:tc>
          <w:tcPr>
            <w:tcW w:w="1422" w:type="dxa"/>
            <w:tcBorders>
              <w:top w:val="nil"/>
              <w:left w:val="single" w:color="auto" w:sz="4" w:space="0"/>
              <w:bottom w:val="single" w:color="auto" w:sz="4" w:space="0"/>
              <w:right w:val="single" w:color="auto" w:sz="4" w:space="0"/>
            </w:tcBorders>
            <w:shd w:val="clear" w:color="auto" w:fill="auto"/>
            <w:vAlign w:val="center"/>
          </w:tcPr>
          <w:p>
            <w:pPr>
              <w:pStyle w:val="37"/>
            </w:pPr>
            <w:r>
              <w:rPr>
                <w:rFonts w:hint="eastAsia"/>
              </w:rPr>
              <w:t>金紫江水库</w:t>
            </w:r>
          </w:p>
        </w:tc>
        <w:tc>
          <w:tcPr>
            <w:tcW w:w="1380" w:type="dxa"/>
            <w:tcBorders>
              <w:top w:val="nil"/>
              <w:left w:val="nil"/>
              <w:bottom w:val="single" w:color="auto" w:sz="4" w:space="0"/>
              <w:right w:val="single" w:color="auto" w:sz="4" w:space="0"/>
            </w:tcBorders>
            <w:shd w:val="clear" w:color="auto" w:fill="auto"/>
            <w:vAlign w:val="center"/>
          </w:tcPr>
          <w:p>
            <w:pPr>
              <w:pStyle w:val="37"/>
            </w:pPr>
            <w:r>
              <w:rPr>
                <w:rFonts w:hint="eastAsia"/>
              </w:rPr>
              <w:t>2.46</w:t>
            </w:r>
          </w:p>
        </w:tc>
        <w:tc>
          <w:tcPr>
            <w:tcW w:w="1355" w:type="dxa"/>
            <w:tcBorders>
              <w:top w:val="nil"/>
              <w:left w:val="nil"/>
              <w:bottom w:val="single" w:color="auto" w:sz="4" w:space="0"/>
              <w:right w:val="single" w:color="auto" w:sz="4" w:space="0"/>
            </w:tcBorders>
            <w:shd w:val="clear" w:color="auto" w:fill="auto"/>
            <w:vAlign w:val="center"/>
          </w:tcPr>
          <w:p>
            <w:pPr>
              <w:pStyle w:val="37"/>
            </w:pPr>
            <w:r>
              <w:rPr>
                <w:rFonts w:hint="eastAsia"/>
              </w:rPr>
              <w:t>2.38</w:t>
            </w:r>
          </w:p>
        </w:tc>
        <w:tc>
          <w:tcPr>
            <w:tcW w:w="1112" w:type="dxa"/>
            <w:tcBorders>
              <w:top w:val="nil"/>
              <w:left w:val="nil"/>
              <w:bottom w:val="single" w:color="auto" w:sz="4" w:space="0"/>
              <w:right w:val="single" w:color="auto" w:sz="4" w:space="0"/>
            </w:tcBorders>
            <w:shd w:val="clear" w:color="auto" w:fill="auto"/>
            <w:vAlign w:val="center"/>
          </w:tcPr>
          <w:p>
            <w:pPr>
              <w:pStyle w:val="37"/>
            </w:pPr>
            <w:r>
              <w:rPr>
                <w:rFonts w:hint="eastAsia"/>
              </w:rPr>
              <w:t>49</w:t>
            </w:r>
          </w:p>
        </w:tc>
        <w:tc>
          <w:tcPr>
            <w:tcW w:w="1218" w:type="dxa"/>
            <w:tcBorders>
              <w:top w:val="nil"/>
              <w:left w:val="nil"/>
              <w:bottom w:val="single" w:color="auto" w:sz="4" w:space="0"/>
              <w:right w:val="single" w:color="auto" w:sz="4" w:space="0"/>
            </w:tcBorders>
            <w:shd w:val="clear" w:color="auto" w:fill="auto"/>
            <w:vAlign w:val="center"/>
          </w:tcPr>
          <w:p>
            <w:pPr>
              <w:pStyle w:val="37"/>
            </w:pPr>
            <w:r>
              <w:rPr>
                <w:rFonts w:hint="eastAsia"/>
              </w:rPr>
              <w:t>2</w:t>
            </w:r>
          </w:p>
        </w:tc>
        <w:tc>
          <w:tcPr>
            <w:tcW w:w="1134" w:type="dxa"/>
            <w:tcBorders>
              <w:top w:val="nil"/>
              <w:left w:val="nil"/>
              <w:bottom w:val="single" w:color="auto" w:sz="4" w:space="0"/>
              <w:right w:val="single" w:color="auto" w:sz="4" w:space="0"/>
            </w:tcBorders>
            <w:shd w:val="clear" w:color="auto" w:fill="auto"/>
            <w:vAlign w:val="center"/>
          </w:tcPr>
          <w:p>
            <w:pPr>
              <w:pStyle w:val="37"/>
            </w:pPr>
            <w:r>
              <w:rPr>
                <w:rFonts w:hint="eastAsia"/>
              </w:rPr>
              <w:t>225.514</w:t>
            </w:r>
          </w:p>
        </w:tc>
        <w:tc>
          <w:tcPr>
            <w:tcW w:w="1121" w:type="dxa"/>
            <w:tcBorders>
              <w:top w:val="nil"/>
              <w:left w:val="nil"/>
              <w:bottom w:val="single" w:color="auto" w:sz="4" w:space="0"/>
              <w:right w:val="single" w:color="auto" w:sz="4" w:space="0"/>
            </w:tcBorders>
            <w:shd w:val="clear" w:color="auto" w:fill="auto"/>
            <w:vAlign w:val="center"/>
          </w:tcPr>
          <w:p>
            <w:pPr>
              <w:pStyle w:val="37"/>
            </w:pPr>
            <w:r>
              <w:rPr>
                <w:rFonts w:hint="eastAsia"/>
              </w:rPr>
              <w:t>121.522</w:t>
            </w:r>
          </w:p>
        </w:tc>
      </w:tr>
      <w:tr>
        <w:tblPrEx>
          <w:tblLayout w:type="fixed"/>
          <w:tblCellMar>
            <w:top w:w="0" w:type="dxa"/>
            <w:left w:w="108" w:type="dxa"/>
            <w:bottom w:w="0" w:type="dxa"/>
            <w:right w:w="108" w:type="dxa"/>
          </w:tblCellMar>
        </w:tblPrEx>
        <w:trPr>
          <w:trHeight w:val="315" w:hRule="atLeast"/>
        </w:trPr>
        <w:tc>
          <w:tcPr>
            <w:tcW w:w="1422" w:type="dxa"/>
            <w:tcBorders>
              <w:top w:val="nil"/>
              <w:left w:val="single" w:color="auto" w:sz="4" w:space="0"/>
              <w:bottom w:val="single" w:color="auto" w:sz="4" w:space="0"/>
              <w:right w:val="single" w:color="auto" w:sz="4" w:space="0"/>
            </w:tcBorders>
            <w:shd w:val="clear" w:color="auto" w:fill="auto"/>
            <w:vAlign w:val="center"/>
          </w:tcPr>
          <w:p>
            <w:pPr>
              <w:pStyle w:val="37"/>
            </w:pPr>
            <w:r>
              <w:rPr>
                <w:rFonts w:hint="eastAsia"/>
              </w:rPr>
              <w:t>五星水库</w:t>
            </w:r>
          </w:p>
        </w:tc>
        <w:tc>
          <w:tcPr>
            <w:tcW w:w="1380" w:type="dxa"/>
            <w:tcBorders>
              <w:top w:val="nil"/>
              <w:left w:val="nil"/>
              <w:bottom w:val="single" w:color="auto" w:sz="4" w:space="0"/>
              <w:right w:val="single" w:color="auto" w:sz="4" w:space="0"/>
            </w:tcBorders>
            <w:shd w:val="clear" w:color="auto" w:fill="auto"/>
            <w:vAlign w:val="center"/>
          </w:tcPr>
          <w:p>
            <w:pPr>
              <w:pStyle w:val="37"/>
            </w:pPr>
            <w:r>
              <w:rPr>
                <w:rFonts w:hint="eastAsia"/>
              </w:rPr>
              <w:t>3.08</w:t>
            </w:r>
          </w:p>
        </w:tc>
        <w:tc>
          <w:tcPr>
            <w:tcW w:w="1355" w:type="dxa"/>
            <w:tcBorders>
              <w:top w:val="nil"/>
              <w:left w:val="nil"/>
              <w:bottom w:val="single" w:color="auto" w:sz="4" w:space="0"/>
              <w:right w:val="single" w:color="auto" w:sz="4" w:space="0"/>
            </w:tcBorders>
            <w:shd w:val="clear" w:color="auto" w:fill="auto"/>
            <w:vAlign w:val="center"/>
          </w:tcPr>
          <w:p>
            <w:pPr>
              <w:pStyle w:val="37"/>
            </w:pPr>
            <w:r>
              <w:rPr>
                <w:rFonts w:hint="eastAsia"/>
              </w:rPr>
              <w:t>3.25</w:t>
            </w:r>
          </w:p>
        </w:tc>
        <w:tc>
          <w:tcPr>
            <w:tcW w:w="1112" w:type="dxa"/>
            <w:tcBorders>
              <w:top w:val="nil"/>
              <w:left w:val="nil"/>
              <w:bottom w:val="single" w:color="auto" w:sz="4" w:space="0"/>
              <w:right w:val="single" w:color="auto" w:sz="4" w:space="0"/>
            </w:tcBorders>
            <w:shd w:val="clear" w:color="auto" w:fill="auto"/>
            <w:vAlign w:val="center"/>
          </w:tcPr>
          <w:p>
            <w:pPr>
              <w:pStyle w:val="37"/>
            </w:pPr>
            <w:r>
              <w:rPr>
                <w:rFonts w:hint="eastAsia"/>
              </w:rPr>
              <w:t>69</w:t>
            </w:r>
          </w:p>
        </w:tc>
        <w:tc>
          <w:tcPr>
            <w:tcW w:w="1218" w:type="dxa"/>
            <w:tcBorders>
              <w:top w:val="nil"/>
              <w:left w:val="nil"/>
              <w:bottom w:val="single" w:color="auto" w:sz="4" w:space="0"/>
              <w:right w:val="single" w:color="auto" w:sz="4" w:space="0"/>
            </w:tcBorders>
            <w:shd w:val="clear" w:color="auto" w:fill="auto"/>
            <w:vAlign w:val="center"/>
          </w:tcPr>
          <w:p>
            <w:pPr>
              <w:pStyle w:val="37"/>
            </w:pPr>
            <w:r>
              <w:rPr>
                <w:rFonts w:hint="eastAsia"/>
              </w:rPr>
              <w:t>2</w:t>
            </w:r>
          </w:p>
        </w:tc>
        <w:tc>
          <w:tcPr>
            <w:tcW w:w="1134" w:type="dxa"/>
            <w:tcBorders>
              <w:top w:val="nil"/>
              <w:left w:val="nil"/>
              <w:bottom w:val="single" w:color="auto" w:sz="4" w:space="0"/>
              <w:right w:val="single" w:color="auto" w:sz="4" w:space="0"/>
            </w:tcBorders>
            <w:shd w:val="clear" w:color="auto" w:fill="auto"/>
            <w:vAlign w:val="center"/>
          </w:tcPr>
          <w:p>
            <w:pPr>
              <w:pStyle w:val="37"/>
            </w:pPr>
            <w:r>
              <w:rPr>
                <w:rFonts w:hint="eastAsia"/>
              </w:rPr>
              <w:t>324.074</w:t>
            </w:r>
          </w:p>
        </w:tc>
        <w:tc>
          <w:tcPr>
            <w:tcW w:w="1121" w:type="dxa"/>
            <w:tcBorders>
              <w:top w:val="nil"/>
              <w:left w:val="nil"/>
              <w:bottom w:val="single" w:color="auto" w:sz="4" w:space="0"/>
              <w:right w:val="single" w:color="auto" w:sz="4" w:space="0"/>
            </w:tcBorders>
            <w:shd w:val="clear" w:color="auto" w:fill="auto"/>
            <w:vAlign w:val="center"/>
          </w:tcPr>
          <w:p>
            <w:pPr>
              <w:pStyle w:val="37"/>
            </w:pPr>
            <w:r>
              <w:rPr>
                <w:rFonts w:hint="eastAsia"/>
              </w:rPr>
              <w:t>156.095</w:t>
            </w:r>
          </w:p>
        </w:tc>
      </w:tr>
      <w:tr>
        <w:tblPrEx>
          <w:tblLayout w:type="fixed"/>
          <w:tblCellMar>
            <w:top w:w="0" w:type="dxa"/>
            <w:left w:w="108" w:type="dxa"/>
            <w:bottom w:w="0" w:type="dxa"/>
            <w:right w:w="108" w:type="dxa"/>
          </w:tblCellMar>
        </w:tblPrEx>
        <w:trPr>
          <w:trHeight w:val="315" w:hRule="atLeast"/>
        </w:trPr>
        <w:tc>
          <w:tcPr>
            <w:tcW w:w="1422" w:type="dxa"/>
            <w:tcBorders>
              <w:top w:val="nil"/>
              <w:left w:val="single" w:color="auto" w:sz="4" w:space="0"/>
              <w:bottom w:val="single" w:color="auto" w:sz="4" w:space="0"/>
              <w:right w:val="single" w:color="auto" w:sz="4" w:space="0"/>
            </w:tcBorders>
            <w:shd w:val="clear" w:color="auto" w:fill="auto"/>
            <w:vAlign w:val="center"/>
          </w:tcPr>
          <w:p>
            <w:pPr>
              <w:pStyle w:val="37"/>
            </w:pPr>
            <w:r>
              <w:rPr>
                <w:rFonts w:hint="eastAsia"/>
              </w:rPr>
              <w:t>竹叶塘水库</w:t>
            </w:r>
          </w:p>
        </w:tc>
        <w:tc>
          <w:tcPr>
            <w:tcW w:w="1380" w:type="dxa"/>
            <w:tcBorders>
              <w:top w:val="nil"/>
              <w:left w:val="nil"/>
              <w:bottom w:val="single" w:color="auto" w:sz="4" w:space="0"/>
              <w:right w:val="single" w:color="auto" w:sz="4" w:space="0"/>
            </w:tcBorders>
            <w:shd w:val="clear" w:color="auto" w:fill="auto"/>
            <w:vAlign w:val="center"/>
          </w:tcPr>
          <w:p>
            <w:pPr>
              <w:pStyle w:val="37"/>
            </w:pPr>
            <w:r>
              <w:rPr>
                <w:rFonts w:hint="eastAsia"/>
              </w:rPr>
              <w:t>4.42</w:t>
            </w:r>
          </w:p>
        </w:tc>
        <w:tc>
          <w:tcPr>
            <w:tcW w:w="1355" w:type="dxa"/>
            <w:tcBorders>
              <w:top w:val="nil"/>
              <w:left w:val="nil"/>
              <w:bottom w:val="single" w:color="auto" w:sz="4" w:space="0"/>
              <w:right w:val="single" w:color="auto" w:sz="4" w:space="0"/>
            </w:tcBorders>
            <w:shd w:val="clear" w:color="auto" w:fill="auto"/>
            <w:vAlign w:val="center"/>
          </w:tcPr>
          <w:p>
            <w:pPr>
              <w:pStyle w:val="37"/>
            </w:pPr>
            <w:r>
              <w:rPr>
                <w:rFonts w:hint="eastAsia"/>
              </w:rPr>
              <w:t>4.38</w:t>
            </w:r>
          </w:p>
        </w:tc>
        <w:tc>
          <w:tcPr>
            <w:tcW w:w="1112" w:type="dxa"/>
            <w:tcBorders>
              <w:top w:val="nil"/>
              <w:left w:val="nil"/>
              <w:bottom w:val="single" w:color="auto" w:sz="4" w:space="0"/>
              <w:right w:val="single" w:color="auto" w:sz="4" w:space="0"/>
            </w:tcBorders>
            <w:shd w:val="clear" w:color="auto" w:fill="auto"/>
            <w:vAlign w:val="center"/>
          </w:tcPr>
          <w:p>
            <w:pPr>
              <w:pStyle w:val="37"/>
            </w:pPr>
            <w:r>
              <w:rPr>
                <w:rFonts w:hint="eastAsia"/>
              </w:rPr>
              <w:t>73</w:t>
            </w:r>
          </w:p>
        </w:tc>
        <w:tc>
          <w:tcPr>
            <w:tcW w:w="1218" w:type="dxa"/>
            <w:tcBorders>
              <w:top w:val="nil"/>
              <w:left w:val="nil"/>
              <w:bottom w:val="single" w:color="auto" w:sz="4" w:space="0"/>
              <w:right w:val="single" w:color="auto" w:sz="4" w:space="0"/>
            </w:tcBorders>
            <w:shd w:val="clear" w:color="auto" w:fill="auto"/>
            <w:vAlign w:val="center"/>
          </w:tcPr>
          <w:p>
            <w:pPr>
              <w:pStyle w:val="37"/>
            </w:pPr>
            <w:r>
              <w:rPr>
                <w:rFonts w:hint="eastAsia"/>
              </w:rPr>
              <w:t>2</w:t>
            </w:r>
          </w:p>
        </w:tc>
        <w:tc>
          <w:tcPr>
            <w:tcW w:w="1134" w:type="dxa"/>
            <w:tcBorders>
              <w:top w:val="nil"/>
              <w:left w:val="nil"/>
              <w:bottom w:val="single" w:color="auto" w:sz="4" w:space="0"/>
              <w:right w:val="single" w:color="auto" w:sz="4" w:space="0"/>
            </w:tcBorders>
            <w:shd w:val="clear" w:color="auto" w:fill="auto"/>
            <w:vAlign w:val="center"/>
          </w:tcPr>
          <w:p>
            <w:pPr>
              <w:pStyle w:val="37"/>
            </w:pPr>
            <w:r>
              <w:rPr>
                <w:rFonts w:hint="eastAsia"/>
              </w:rPr>
              <w:t>374.871</w:t>
            </w:r>
          </w:p>
        </w:tc>
        <w:tc>
          <w:tcPr>
            <w:tcW w:w="1121" w:type="dxa"/>
            <w:tcBorders>
              <w:top w:val="nil"/>
              <w:left w:val="nil"/>
              <w:bottom w:val="single" w:color="auto" w:sz="4" w:space="0"/>
              <w:right w:val="single" w:color="auto" w:sz="4" w:space="0"/>
            </w:tcBorders>
            <w:shd w:val="clear" w:color="auto" w:fill="auto"/>
            <w:vAlign w:val="center"/>
          </w:tcPr>
          <w:p>
            <w:pPr>
              <w:pStyle w:val="37"/>
            </w:pPr>
            <w:r>
              <w:rPr>
                <w:rFonts w:hint="eastAsia"/>
              </w:rPr>
              <w:t>159.043</w:t>
            </w:r>
          </w:p>
        </w:tc>
      </w:tr>
      <w:tr>
        <w:tblPrEx>
          <w:tblLayout w:type="fixed"/>
          <w:tblCellMar>
            <w:top w:w="0" w:type="dxa"/>
            <w:left w:w="108" w:type="dxa"/>
            <w:bottom w:w="0" w:type="dxa"/>
            <w:right w:w="108" w:type="dxa"/>
          </w:tblCellMar>
        </w:tblPrEx>
        <w:trPr>
          <w:trHeight w:val="315" w:hRule="atLeast"/>
        </w:trPr>
        <w:tc>
          <w:tcPr>
            <w:tcW w:w="1422" w:type="dxa"/>
            <w:tcBorders>
              <w:top w:val="nil"/>
              <w:left w:val="single" w:color="auto" w:sz="4" w:space="0"/>
              <w:bottom w:val="single" w:color="auto" w:sz="4" w:space="0"/>
              <w:right w:val="single" w:color="auto" w:sz="4" w:space="0"/>
            </w:tcBorders>
            <w:shd w:val="clear" w:color="auto" w:fill="auto"/>
          </w:tcPr>
          <w:p>
            <w:pPr>
              <w:pStyle w:val="37"/>
            </w:pPr>
            <w:r>
              <w:rPr>
                <w:rFonts w:hint="eastAsia"/>
              </w:rPr>
              <w:t>总计</w:t>
            </w:r>
          </w:p>
        </w:tc>
        <w:tc>
          <w:tcPr>
            <w:tcW w:w="1380" w:type="dxa"/>
            <w:tcBorders>
              <w:top w:val="nil"/>
              <w:left w:val="nil"/>
              <w:bottom w:val="single" w:color="auto" w:sz="4" w:space="0"/>
              <w:right w:val="single" w:color="auto" w:sz="4" w:space="0"/>
            </w:tcBorders>
            <w:shd w:val="clear" w:color="auto" w:fill="auto"/>
            <w:vAlign w:val="center"/>
          </w:tcPr>
          <w:p>
            <w:pPr>
              <w:pStyle w:val="37"/>
            </w:pPr>
            <w:r>
              <w:rPr>
                <w:rFonts w:hint="eastAsia"/>
              </w:rPr>
              <w:t xml:space="preserve">31.71 </w:t>
            </w:r>
          </w:p>
        </w:tc>
        <w:tc>
          <w:tcPr>
            <w:tcW w:w="1355" w:type="dxa"/>
            <w:tcBorders>
              <w:top w:val="nil"/>
              <w:left w:val="nil"/>
              <w:bottom w:val="single" w:color="auto" w:sz="4" w:space="0"/>
              <w:right w:val="single" w:color="auto" w:sz="4" w:space="0"/>
            </w:tcBorders>
            <w:shd w:val="clear" w:color="auto" w:fill="auto"/>
            <w:vAlign w:val="center"/>
          </w:tcPr>
          <w:p>
            <w:pPr>
              <w:pStyle w:val="37"/>
            </w:pPr>
            <w:r>
              <w:rPr>
                <w:rFonts w:hint="eastAsia"/>
              </w:rPr>
              <w:t xml:space="preserve">29.88 </w:t>
            </w:r>
          </w:p>
        </w:tc>
        <w:tc>
          <w:tcPr>
            <w:tcW w:w="1112" w:type="dxa"/>
            <w:tcBorders>
              <w:top w:val="nil"/>
              <w:left w:val="nil"/>
              <w:bottom w:val="single" w:color="auto" w:sz="4" w:space="0"/>
              <w:right w:val="single" w:color="auto" w:sz="4" w:space="0"/>
            </w:tcBorders>
            <w:shd w:val="clear" w:color="auto" w:fill="auto"/>
            <w:vAlign w:val="center"/>
          </w:tcPr>
          <w:p>
            <w:pPr>
              <w:pStyle w:val="37"/>
            </w:pPr>
            <w:r>
              <w:rPr>
                <w:rFonts w:hint="eastAsia"/>
              </w:rPr>
              <w:t xml:space="preserve">589 </w:t>
            </w:r>
          </w:p>
        </w:tc>
        <w:tc>
          <w:tcPr>
            <w:tcW w:w="1218" w:type="dxa"/>
            <w:tcBorders>
              <w:top w:val="nil"/>
              <w:left w:val="nil"/>
              <w:bottom w:val="single" w:color="auto" w:sz="4" w:space="0"/>
              <w:right w:val="single" w:color="auto" w:sz="4" w:space="0"/>
            </w:tcBorders>
            <w:shd w:val="clear" w:color="auto" w:fill="auto"/>
            <w:vAlign w:val="center"/>
          </w:tcPr>
          <w:p>
            <w:pPr>
              <w:pStyle w:val="37"/>
            </w:pPr>
            <w:r>
              <w:rPr>
                <w:rFonts w:hint="eastAsia"/>
              </w:rPr>
              <w:t xml:space="preserve">16 </w:t>
            </w:r>
          </w:p>
        </w:tc>
        <w:tc>
          <w:tcPr>
            <w:tcW w:w="1134" w:type="dxa"/>
            <w:tcBorders>
              <w:top w:val="nil"/>
              <w:left w:val="nil"/>
              <w:bottom w:val="single" w:color="auto" w:sz="4" w:space="0"/>
              <w:right w:val="single" w:color="auto" w:sz="4" w:space="0"/>
            </w:tcBorders>
            <w:shd w:val="clear" w:color="auto" w:fill="auto"/>
            <w:vAlign w:val="center"/>
          </w:tcPr>
          <w:p>
            <w:pPr>
              <w:pStyle w:val="37"/>
            </w:pPr>
            <w:r>
              <w:rPr>
                <w:rFonts w:hint="eastAsia"/>
              </w:rPr>
              <w:t xml:space="preserve">2313.194 </w:t>
            </w:r>
          </w:p>
        </w:tc>
        <w:tc>
          <w:tcPr>
            <w:tcW w:w="1121" w:type="dxa"/>
            <w:tcBorders>
              <w:top w:val="nil"/>
              <w:left w:val="nil"/>
              <w:bottom w:val="single" w:color="auto" w:sz="4" w:space="0"/>
              <w:right w:val="single" w:color="auto" w:sz="4" w:space="0"/>
            </w:tcBorders>
            <w:shd w:val="clear" w:color="auto" w:fill="auto"/>
            <w:vAlign w:val="center"/>
          </w:tcPr>
          <w:p>
            <w:pPr>
              <w:pStyle w:val="37"/>
            </w:pPr>
            <w:r>
              <w:rPr>
                <w:rFonts w:hint="eastAsia"/>
              </w:rPr>
              <w:t xml:space="preserve">1138.618 </w:t>
            </w:r>
          </w:p>
        </w:tc>
      </w:tr>
    </w:tbl>
    <w:p>
      <w:pPr>
        <w:ind w:firstLine="0" w:firstLineChars="0"/>
      </w:pPr>
    </w:p>
    <w:sectPr>
      <w:footerReference r:id="rId10" w:type="default"/>
      <w:pgSz w:w="11906" w:h="16838"/>
      <w:pgMar w:top="1871" w:right="1474" w:bottom="1701" w:left="1474" w:header="851" w:footer="1361"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宋体"/>
    <w:panose1 w:val="00000000000000000000"/>
    <w:charset w:val="86"/>
    <w:family w:val="auto"/>
    <w:pitch w:val="default"/>
    <w:sig w:usb0="00000000" w:usb1="00000000" w:usb2="00000016" w:usb3="00000000" w:csb0="0004000F" w:csb1="00000000"/>
  </w:font>
  <w:font w:name="等线">
    <w:altName w:val="宋体"/>
    <w:panose1 w:val="00000000000000000000"/>
    <w:charset w:val="86"/>
    <w:family w:val="auto"/>
    <w:pitch w:val="default"/>
    <w:sig w:usb0="00000000" w:usb1="00000000" w:usb2="00000000" w:usb3="00000000" w:csb0="00000000" w:csb1="00000000"/>
  </w:font>
  <w:font w:name="等线">
    <w:altName w:val="AMGDT"/>
    <w:panose1 w:val="00000000000000000000"/>
    <w:charset w:val="00"/>
    <w:family w:val="auto"/>
    <w:pitch w:val="default"/>
    <w:sig w:usb0="00000000" w:usb1="00000000" w:usb2="00000000" w:usb3="00000000" w:csb0="00000000" w:csb1="00000000"/>
  </w:font>
  <w:font w:name="仿宋_GB2312">
    <w:altName w:val="仿宋"/>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等线 Light">
    <w:altName w:val="宋体"/>
    <w:panose1 w:val="00000000000000000000"/>
    <w:charset w:val="86"/>
    <w:family w:val="auto"/>
    <w:pitch w:val="default"/>
    <w:sig w:usb0="00000000" w:usb1="00000000" w:usb2="00000016" w:usb3="00000000" w:csb0="0004000F" w:csb1="00000000"/>
  </w:font>
  <w:font w:name="monospace">
    <w:altName w:val="Times New Roman"/>
    <w:panose1 w:val="00000000000000000000"/>
    <w:charset w:val="00"/>
    <w:family w:val="auto"/>
    <w:pitch w:val="default"/>
    <w:sig w:usb0="00000000" w:usb1="00000000" w:usb2="00000000" w:usb3="00000000" w:csb0="00000000" w:csb1="00000000"/>
  </w:font>
  <w:font w:name="Cambria">
    <w:panose1 w:val="02040503050406030204"/>
    <w:charset w:val="00"/>
    <w:family w:val="roman"/>
    <w:pitch w:val="default"/>
    <w:sig w:usb0="E00002FF" w:usb1="400004FF" w:usb2="00000000" w:usb3="00000000" w:csb0="2000019F" w:csb1="00000000"/>
  </w:font>
  <w:font w:name="方正小标宋_GBK">
    <w:altName w:val="微软雅黑"/>
    <w:panose1 w:val="00000000000000000000"/>
    <w:charset w:val="86"/>
    <w:family w:val="script"/>
    <w:pitch w:val="default"/>
    <w:sig w:usb0="00000000" w:usb1="00000000" w:usb2="00000010" w:usb3="00000000" w:csb0="00040000" w:csb1="00000000"/>
  </w:font>
  <w:font w:name="AMGDT">
    <w:panose1 w:val="02000400000000000000"/>
    <w:charset w:val="00"/>
    <w:family w:val="auto"/>
    <w:pitch w:val="default"/>
    <w:sig w:usb0="80000003" w:usb1="10000000" w:usb2="00000000" w:usb3="00000000" w:csb0="00000001"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17362474"/>
    </w:sdtPr>
    <w:sdtContent>
      <w:p>
        <w:pPr>
          <w:pStyle w:val="11"/>
          <w:ind w:firstLine="360"/>
          <w:jc w:val="center"/>
        </w:pPr>
        <w:r>
          <w:fldChar w:fldCharType="begin"/>
        </w:r>
        <w:r>
          <w:instrText xml:space="preserve">PAGE   \* MERGEFORMAT</w:instrText>
        </w:r>
        <w:r>
          <w:fldChar w:fldCharType="separate"/>
        </w:r>
        <w:r>
          <w:rPr>
            <w:lang w:val="zh-CN"/>
          </w:rPr>
          <w:t>1</w:t>
        </w:r>
        <w:r>
          <w:rPr>
            <w:lang w:val="zh-CN"/>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82923955"/>
    </w:sdtPr>
    <w:sdtEndPr>
      <w:rPr>
        <w:rFonts w:cs="Times New Roman"/>
        <w:sz w:val="21"/>
        <w:szCs w:val="21"/>
      </w:rPr>
    </w:sdtEndPr>
    <w:sdtContent>
      <w:p>
        <w:pPr>
          <w:pStyle w:val="11"/>
          <w:ind w:firstLine="360"/>
          <w:jc w:val="center"/>
          <w:rPr>
            <w:rFonts w:cs="Times New Roman"/>
            <w:sz w:val="21"/>
            <w:szCs w:val="21"/>
          </w:rPr>
        </w:pPr>
        <w:r>
          <w:rPr>
            <w:rFonts w:cs="Times New Roman"/>
            <w:sz w:val="21"/>
            <w:szCs w:val="21"/>
          </w:rPr>
          <w:fldChar w:fldCharType="begin"/>
        </w:r>
        <w:r>
          <w:rPr>
            <w:rFonts w:cs="Times New Roman"/>
            <w:sz w:val="21"/>
            <w:szCs w:val="21"/>
          </w:rPr>
          <w:instrText xml:space="preserve">PAGE   \* MERGEFORMAT</w:instrText>
        </w:r>
        <w:r>
          <w:rPr>
            <w:rFonts w:cs="Times New Roman"/>
            <w:sz w:val="21"/>
            <w:szCs w:val="21"/>
          </w:rPr>
          <w:fldChar w:fldCharType="separate"/>
        </w:r>
        <w:r>
          <w:rPr>
            <w:rFonts w:cs="Times New Roman"/>
            <w:sz w:val="21"/>
            <w:szCs w:val="21"/>
            <w:lang w:val="zh-CN"/>
          </w:rPr>
          <w:t>29</w:t>
        </w:r>
        <w:r>
          <w:rPr>
            <w:rFonts w:cs="Times New Roman"/>
            <w:sz w:val="21"/>
            <w:szCs w:val="21"/>
          </w:rPr>
          <w:fldChar w:fldCharType="end"/>
        </w:r>
      </w:p>
    </w:sdtContent>
  </w:sdt>
  <w:p>
    <w:pPr>
      <w:pStyle w:val="11"/>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ocumentProtection w:enforcement="0"/>
  <w:defaultTabStop w:val="420"/>
  <w:drawingGridHorizontalSpacing w:val="160"/>
  <w:drawingGridVerticalSpacing w:val="435"/>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1710"/>
    <w:rsid w:val="0000238A"/>
    <w:rsid w:val="0000448E"/>
    <w:rsid w:val="0000478B"/>
    <w:rsid w:val="00004B68"/>
    <w:rsid w:val="000056BA"/>
    <w:rsid w:val="00007E8B"/>
    <w:rsid w:val="000107A5"/>
    <w:rsid w:val="00014981"/>
    <w:rsid w:val="000162F2"/>
    <w:rsid w:val="00020694"/>
    <w:rsid w:val="00020767"/>
    <w:rsid w:val="0002401A"/>
    <w:rsid w:val="00025142"/>
    <w:rsid w:val="0002597C"/>
    <w:rsid w:val="00027AAC"/>
    <w:rsid w:val="00027D3D"/>
    <w:rsid w:val="00030F41"/>
    <w:rsid w:val="00030F63"/>
    <w:rsid w:val="00032D7E"/>
    <w:rsid w:val="00033D0C"/>
    <w:rsid w:val="00041908"/>
    <w:rsid w:val="00042D45"/>
    <w:rsid w:val="0004351A"/>
    <w:rsid w:val="00043814"/>
    <w:rsid w:val="0004424D"/>
    <w:rsid w:val="00044C13"/>
    <w:rsid w:val="000477C6"/>
    <w:rsid w:val="00054A5F"/>
    <w:rsid w:val="00055A0B"/>
    <w:rsid w:val="00056270"/>
    <w:rsid w:val="000605E5"/>
    <w:rsid w:val="00061ACA"/>
    <w:rsid w:val="00065C31"/>
    <w:rsid w:val="0006635F"/>
    <w:rsid w:val="000666F4"/>
    <w:rsid w:val="00066A99"/>
    <w:rsid w:val="000679B4"/>
    <w:rsid w:val="00067DE9"/>
    <w:rsid w:val="000726D1"/>
    <w:rsid w:val="00076D38"/>
    <w:rsid w:val="00077EC8"/>
    <w:rsid w:val="0008150A"/>
    <w:rsid w:val="00082059"/>
    <w:rsid w:val="00085DC7"/>
    <w:rsid w:val="0009164E"/>
    <w:rsid w:val="00092BA0"/>
    <w:rsid w:val="0009336F"/>
    <w:rsid w:val="000A07EA"/>
    <w:rsid w:val="000A1C09"/>
    <w:rsid w:val="000A275C"/>
    <w:rsid w:val="000A2AFD"/>
    <w:rsid w:val="000A4541"/>
    <w:rsid w:val="000A58F6"/>
    <w:rsid w:val="000A5A37"/>
    <w:rsid w:val="000B16E8"/>
    <w:rsid w:val="000B1F90"/>
    <w:rsid w:val="000B2841"/>
    <w:rsid w:val="000B3A68"/>
    <w:rsid w:val="000B6096"/>
    <w:rsid w:val="000C0B59"/>
    <w:rsid w:val="000C5A46"/>
    <w:rsid w:val="000D26B2"/>
    <w:rsid w:val="000D302A"/>
    <w:rsid w:val="000D5D01"/>
    <w:rsid w:val="000D715F"/>
    <w:rsid w:val="000D7CF7"/>
    <w:rsid w:val="000D7EF4"/>
    <w:rsid w:val="000E054B"/>
    <w:rsid w:val="000E136D"/>
    <w:rsid w:val="000E18F8"/>
    <w:rsid w:val="000E1984"/>
    <w:rsid w:val="000E210D"/>
    <w:rsid w:val="000E2688"/>
    <w:rsid w:val="000E30C8"/>
    <w:rsid w:val="000E394F"/>
    <w:rsid w:val="000E4746"/>
    <w:rsid w:val="000E604B"/>
    <w:rsid w:val="000E643F"/>
    <w:rsid w:val="000F00C3"/>
    <w:rsid w:val="000F0255"/>
    <w:rsid w:val="000F2214"/>
    <w:rsid w:val="000F3CBB"/>
    <w:rsid w:val="000F4D5E"/>
    <w:rsid w:val="000F4F69"/>
    <w:rsid w:val="000F5B81"/>
    <w:rsid w:val="000F67E1"/>
    <w:rsid w:val="001006F0"/>
    <w:rsid w:val="00102111"/>
    <w:rsid w:val="00105C4D"/>
    <w:rsid w:val="00105FAD"/>
    <w:rsid w:val="00106FA5"/>
    <w:rsid w:val="00107390"/>
    <w:rsid w:val="00110729"/>
    <w:rsid w:val="0011099C"/>
    <w:rsid w:val="00110CF6"/>
    <w:rsid w:val="00111ED1"/>
    <w:rsid w:val="001120C0"/>
    <w:rsid w:val="00113FBF"/>
    <w:rsid w:val="0011401E"/>
    <w:rsid w:val="001140F3"/>
    <w:rsid w:val="001153EE"/>
    <w:rsid w:val="001161BF"/>
    <w:rsid w:val="00117670"/>
    <w:rsid w:val="00117808"/>
    <w:rsid w:val="00120090"/>
    <w:rsid w:val="00121765"/>
    <w:rsid w:val="00122DCD"/>
    <w:rsid w:val="00125912"/>
    <w:rsid w:val="001274EB"/>
    <w:rsid w:val="00130AEB"/>
    <w:rsid w:val="00131FF8"/>
    <w:rsid w:val="00132710"/>
    <w:rsid w:val="00133AF5"/>
    <w:rsid w:val="00135447"/>
    <w:rsid w:val="00135E8D"/>
    <w:rsid w:val="00136288"/>
    <w:rsid w:val="00140173"/>
    <w:rsid w:val="00140915"/>
    <w:rsid w:val="0014127F"/>
    <w:rsid w:val="00141B91"/>
    <w:rsid w:val="00141C44"/>
    <w:rsid w:val="00142B58"/>
    <w:rsid w:val="001469D3"/>
    <w:rsid w:val="00146F2F"/>
    <w:rsid w:val="0014707D"/>
    <w:rsid w:val="001505E2"/>
    <w:rsid w:val="00151309"/>
    <w:rsid w:val="00152E42"/>
    <w:rsid w:val="0015320C"/>
    <w:rsid w:val="0015505A"/>
    <w:rsid w:val="00155DCA"/>
    <w:rsid w:val="00160955"/>
    <w:rsid w:val="00160F88"/>
    <w:rsid w:val="00161D38"/>
    <w:rsid w:val="00164495"/>
    <w:rsid w:val="00165963"/>
    <w:rsid w:val="00165C33"/>
    <w:rsid w:val="00171558"/>
    <w:rsid w:val="00177BE6"/>
    <w:rsid w:val="00180324"/>
    <w:rsid w:val="0018586A"/>
    <w:rsid w:val="00186C05"/>
    <w:rsid w:val="0019244A"/>
    <w:rsid w:val="00192561"/>
    <w:rsid w:val="00193547"/>
    <w:rsid w:val="001938FE"/>
    <w:rsid w:val="00194EBB"/>
    <w:rsid w:val="00195141"/>
    <w:rsid w:val="00197C5B"/>
    <w:rsid w:val="001A0412"/>
    <w:rsid w:val="001A1DD3"/>
    <w:rsid w:val="001A28F7"/>
    <w:rsid w:val="001A2CD4"/>
    <w:rsid w:val="001A4128"/>
    <w:rsid w:val="001A4237"/>
    <w:rsid w:val="001B24E5"/>
    <w:rsid w:val="001B3D0E"/>
    <w:rsid w:val="001B3DD8"/>
    <w:rsid w:val="001B47D8"/>
    <w:rsid w:val="001B74D8"/>
    <w:rsid w:val="001C10E1"/>
    <w:rsid w:val="001C6520"/>
    <w:rsid w:val="001D1B19"/>
    <w:rsid w:val="001D217E"/>
    <w:rsid w:val="001D2D80"/>
    <w:rsid w:val="001D33AC"/>
    <w:rsid w:val="001D53DC"/>
    <w:rsid w:val="001D5EDA"/>
    <w:rsid w:val="001E1FB6"/>
    <w:rsid w:val="001E30E3"/>
    <w:rsid w:val="001E436F"/>
    <w:rsid w:val="001E5EE3"/>
    <w:rsid w:val="001E69AE"/>
    <w:rsid w:val="001F0EE1"/>
    <w:rsid w:val="001F198E"/>
    <w:rsid w:val="001F2A79"/>
    <w:rsid w:val="001F529C"/>
    <w:rsid w:val="001F660C"/>
    <w:rsid w:val="002013F4"/>
    <w:rsid w:val="00206E12"/>
    <w:rsid w:val="00207861"/>
    <w:rsid w:val="002078AB"/>
    <w:rsid w:val="00207DAA"/>
    <w:rsid w:val="00210595"/>
    <w:rsid w:val="0021111F"/>
    <w:rsid w:val="002129BD"/>
    <w:rsid w:val="0021479E"/>
    <w:rsid w:val="00214CA2"/>
    <w:rsid w:val="0021520F"/>
    <w:rsid w:val="00220D42"/>
    <w:rsid w:val="002211B6"/>
    <w:rsid w:val="0022337E"/>
    <w:rsid w:val="00231456"/>
    <w:rsid w:val="00234B15"/>
    <w:rsid w:val="00234BF7"/>
    <w:rsid w:val="00236A2F"/>
    <w:rsid w:val="0023798C"/>
    <w:rsid w:val="00242325"/>
    <w:rsid w:val="00243B66"/>
    <w:rsid w:val="00244AA4"/>
    <w:rsid w:val="00250000"/>
    <w:rsid w:val="00250828"/>
    <w:rsid w:val="002515D9"/>
    <w:rsid w:val="002540E8"/>
    <w:rsid w:val="002550AF"/>
    <w:rsid w:val="00260D1A"/>
    <w:rsid w:val="002612C2"/>
    <w:rsid w:val="002624CB"/>
    <w:rsid w:val="00263401"/>
    <w:rsid w:val="00263703"/>
    <w:rsid w:val="00264BEF"/>
    <w:rsid w:val="00265243"/>
    <w:rsid w:val="00270509"/>
    <w:rsid w:val="002708E6"/>
    <w:rsid w:val="00270E82"/>
    <w:rsid w:val="00270EB7"/>
    <w:rsid w:val="002710EA"/>
    <w:rsid w:val="00272233"/>
    <w:rsid w:val="00272871"/>
    <w:rsid w:val="00275510"/>
    <w:rsid w:val="002755E1"/>
    <w:rsid w:val="0027670C"/>
    <w:rsid w:val="00276737"/>
    <w:rsid w:val="002768CE"/>
    <w:rsid w:val="00280652"/>
    <w:rsid w:val="00281125"/>
    <w:rsid w:val="00284704"/>
    <w:rsid w:val="0028519E"/>
    <w:rsid w:val="00287D6A"/>
    <w:rsid w:val="00290542"/>
    <w:rsid w:val="00292675"/>
    <w:rsid w:val="002927C5"/>
    <w:rsid w:val="0029466C"/>
    <w:rsid w:val="002951B5"/>
    <w:rsid w:val="002A0E0A"/>
    <w:rsid w:val="002A5CE5"/>
    <w:rsid w:val="002A6BB6"/>
    <w:rsid w:val="002A7009"/>
    <w:rsid w:val="002B01A7"/>
    <w:rsid w:val="002B2FDE"/>
    <w:rsid w:val="002B3420"/>
    <w:rsid w:val="002B3D5E"/>
    <w:rsid w:val="002B4A14"/>
    <w:rsid w:val="002B4BAD"/>
    <w:rsid w:val="002B5907"/>
    <w:rsid w:val="002C0B60"/>
    <w:rsid w:val="002C28FD"/>
    <w:rsid w:val="002C3BA5"/>
    <w:rsid w:val="002C4449"/>
    <w:rsid w:val="002C55BB"/>
    <w:rsid w:val="002D069C"/>
    <w:rsid w:val="002D214E"/>
    <w:rsid w:val="002D2B47"/>
    <w:rsid w:val="002D2C5B"/>
    <w:rsid w:val="002D48E1"/>
    <w:rsid w:val="002D4DC5"/>
    <w:rsid w:val="002E0448"/>
    <w:rsid w:val="002E3428"/>
    <w:rsid w:val="002E72D8"/>
    <w:rsid w:val="002F0865"/>
    <w:rsid w:val="002F150F"/>
    <w:rsid w:val="002F7102"/>
    <w:rsid w:val="0030062E"/>
    <w:rsid w:val="003008ED"/>
    <w:rsid w:val="00300B64"/>
    <w:rsid w:val="00303DED"/>
    <w:rsid w:val="003044AD"/>
    <w:rsid w:val="00304BE7"/>
    <w:rsid w:val="003054C5"/>
    <w:rsid w:val="00306A86"/>
    <w:rsid w:val="00307551"/>
    <w:rsid w:val="00311792"/>
    <w:rsid w:val="00313BB8"/>
    <w:rsid w:val="00313C03"/>
    <w:rsid w:val="00315435"/>
    <w:rsid w:val="0032096F"/>
    <w:rsid w:val="00320DB8"/>
    <w:rsid w:val="00326B96"/>
    <w:rsid w:val="00333AF6"/>
    <w:rsid w:val="00335294"/>
    <w:rsid w:val="00335614"/>
    <w:rsid w:val="00336857"/>
    <w:rsid w:val="003419D0"/>
    <w:rsid w:val="00342D05"/>
    <w:rsid w:val="00342E4E"/>
    <w:rsid w:val="003441A9"/>
    <w:rsid w:val="00347671"/>
    <w:rsid w:val="00347B9E"/>
    <w:rsid w:val="003503B0"/>
    <w:rsid w:val="00351459"/>
    <w:rsid w:val="003525E4"/>
    <w:rsid w:val="00352BAF"/>
    <w:rsid w:val="0035477E"/>
    <w:rsid w:val="00355596"/>
    <w:rsid w:val="0036021E"/>
    <w:rsid w:val="00360A55"/>
    <w:rsid w:val="00363736"/>
    <w:rsid w:val="00363EDF"/>
    <w:rsid w:val="0036477F"/>
    <w:rsid w:val="00365B42"/>
    <w:rsid w:val="0036608E"/>
    <w:rsid w:val="003665DB"/>
    <w:rsid w:val="00366AB8"/>
    <w:rsid w:val="00367D8B"/>
    <w:rsid w:val="00371644"/>
    <w:rsid w:val="003717D6"/>
    <w:rsid w:val="00372949"/>
    <w:rsid w:val="003730CC"/>
    <w:rsid w:val="0037342D"/>
    <w:rsid w:val="0037383C"/>
    <w:rsid w:val="00374AF2"/>
    <w:rsid w:val="003755A3"/>
    <w:rsid w:val="00376B17"/>
    <w:rsid w:val="00376F61"/>
    <w:rsid w:val="003824FE"/>
    <w:rsid w:val="00384167"/>
    <w:rsid w:val="0039100E"/>
    <w:rsid w:val="00392F5E"/>
    <w:rsid w:val="00395E66"/>
    <w:rsid w:val="003A03D9"/>
    <w:rsid w:val="003A1E52"/>
    <w:rsid w:val="003A424E"/>
    <w:rsid w:val="003A5426"/>
    <w:rsid w:val="003A5BC6"/>
    <w:rsid w:val="003A6187"/>
    <w:rsid w:val="003A7193"/>
    <w:rsid w:val="003A7A6C"/>
    <w:rsid w:val="003B07F3"/>
    <w:rsid w:val="003B0D74"/>
    <w:rsid w:val="003B112E"/>
    <w:rsid w:val="003B1F3D"/>
    <w:rsid w:val="003B25C8"/>
    <w:rsid w:val="003B37B4"/>
    <w:rsid w:val="003B58B2"/>
    <w:rsid w:val="003B6FBD"/>
    <w:rsid w:val="003C2961"/>
    <w:rsid w:val="003C39F2"/>
    <w:rsid w:val="003C4713"/>
    <w:rsid w:val="003D11CF"/>
    <w:rsid w:val="003D2137"/>
    <w:rsid w:val="003D37A9"/>
    <w:rsid w:val="003D47B8"/>
    <w:rsid w:val="003D4ED6"/>
    <w:rsid w:val="003D7E18"/>
    <w:rsid w:val="003E0657"/>
    <w:rsid w:val="003E0B25"/>
    <w:rsid w:val="003E0F53"/>
    <w:rsid w:val="003E1926"/>
    <w:rsid w:val="003E303B"/>
    <w:rsid w:val="003E329D"/>
    <w:rsid w:val="003E5E5B"/>
    <w:rsid w:val="003F1D6D"/>
    <w:rsid w:val="003F2400"/>
    <w:rsid w:val="003F25DF"/>
    <w:rsid w:val="003F4FFB"/>
    <w:rsid w:val="003F50EA"/>
    <w:rsid w:val="003F53A3"/>
    <w:rsid w:val="003F7A23"/>
    <w:rsid w:val="00400055"/>
    <w:rsid w:val="004007D6"/>
    <w:rsid w:val="00402616"/>
    <w:rsid w:val="004039B2"/>
    <w:rsid w:val="00403C03"/>
    <w:rsid w:val="00404AB5"/>
    <w:rsid w:val="00405666"/>
    <w:rsid w:val="004074FF"/>
    <w:rsid w:val="0040799F"/>
    <w:rsid w:val="00407F6E"/>
    <w:rsid w:val="00410A53"/>
    <w:rsid w:val="00413EF6"/>
    <w:rsid w:val="00414DD6"/>
    <w:rsid w:val="00415730"/>
    <w:rsid w:val="00415C8D"/>
    <w:rsid w:val="00417301"/>
    <w:rsid w:val="004217B4"/>
    <w:rsid w:val="004232D5"/>
    <w:rsid w:val="004245B9"/>
    <w:rsid w:val="00425C5E"/>
    <w:rsid w:val="004265B9"/>
    <w:rsid w:val="004277CB"/>
    <w:rsid w:val="00427E0B"/>
    <w:rsid w:val="00430918"/>
    <w:rsid w:val="0043297E"/>
    <w:rsid w:val="004335FC"/>
    <w:rsid w:val="0043770E"/>
    <w:rsid w:val="004406F1"/>
    <w:rsid w:val="0044184D"/>
    <w:rsid w:val="00442E9E"/>
    <w:rsid w:val="004432D8"/>
    <w:rsid w:val="0044348A"/>
    <w:rsid w:val="004435D1"/>
    <w:rsid w:val="004447F3"/>
    <w:rsid w:val="00445A7F"/>
    <w:rsid w:val="00447990"/>
    <w:rsid w:val="00450E00"/>
    <w:rsid w:val="00451966"/>
    <w:rsid w:val="00455664"/>
    <w:rsid w:val="00457D9A"/>
    <w:rsid w:val="004673C8"/>
    <w:rsid w:val="00467E71"/>
    <w:rsid w:val="004728DF"/>
    <w:rsid w:val="00473463"/>
    <w:rsid w:val="0047348B"/>
    <w:rsid w:val="00473669"/>
    <w:rsid w:val="00475456"/>
    <w:rsid w:val="00475603"/>
    <w:rsid w:val="0047648D"/>
    <w:rsid w:val="0047652F"/>
    <w:rsid w:val="00476E2F"/>
    <w:rsid w:val="00476FEA"/>
    <w:rsid w:val="00477D95"/>
    <w:rsid w:val="00480543"/>
    <w:rsid w:val="00480844"/>
    <w:rsid w:val="0048198B"/>
    <w:rsid w:val="00481BB0"/>
    <w:rsid w:val="00482350"/>
    <w:rsid w:val="00487BFB"/>
    <w:rsid w:val="00490E9F"/>
    <w:rsid w:val="0049293A"/>
    <w:rsid w:val="004930D5"/>
    <w:rsid w:val="004931A2"/>
    <w:rsid w:val="0049507E"/>
    <w:rsid w:val="004975D9"/>
    <w:rsid w:val="004A016B"/>
    <w:rsid w:val="004A1259"/>
    <w:rsid w:val="004A1487"/>
    <w:rsid w:val="004A14DA"/>
    <w:rsid w:val="004A1683"/>
    <w:rsid w:val="004A35AF"/>
    <w:rsid w:val="004A3C91"/>
    <w:rsid w:val="004A3DB1"/>
    <w:rsid w:val="004A40B1"/>
    <w:rsid w:val="004A48B8"/>
    <w:rsid w:val="004A4F0A"/>
    <w:rsid w:val="004A513C"/>
    <w:rsid w:val="004B2FB9"/>
    <w:rsid w:val="004B360C"/>
    <w:rsid w:val="004B5643"/>
    <w:rsid w:val="004B626C"/>
    <w:rsid w:val="004B7584"/>
    <w:rsid w:val="004B7C27"/>
    <w:rsid w:val="004C2607"/>
    <w:rsid w:val="004C265B"/>
    <w:rsid w:val="004C32E0"/>
    <w:rsid w:val="004C6C5E"/>
    <w:rsid w:val="004D0CAF"/>
    <w:rsid w:val="004D41F3"/>
    <w:rsid w:val="004D4E4C"/>
    <w:rsid w:val="004E4430"/>
    <w:rsid w:val="004E633E"/>
    <w:rsid w:val="004E7349"/>
    <w:rsid w:val="004F0F19"/>
    <w:rsid w:val="004F3850"/>
    <w:rsid w:val="004F67DC"/>
    <w:rsid w:val="004F6E29"/>
    <w:rsid w:val="004F73C1"/>
    <w:rsid w:val="005002A4"/>
    <w:rsid w:val="00500365"/>
    <w:rsid w:val="00502B09"/>
    <w:rsid w:val="00504D05"/>
    <w:rsid w:val="00506557"/>
    <w:rsid w:val="00511EB9"/>
    <w:rsid w:val="00512523"/>
    <w:rsid w:val="005133FE"/>
    <w:rsid w:val="00517637"/>
    <w:rsid w:val="00520FBF"/>
    <w:rsid w:val="005213A0"/>
    <w:rsid w:val="0052199F"/>
    <w:rsid w:val="0052415C"/>
    <w:rsid w:val="00525A06"/>
    <w:rsid w:val="00525F59"/>
    <w:rsid w:val="005332A6"/>
    <w:rsid w:val="005333EA"/>
    <w:rsid w:val="0053570D"/>
    <w:rsid w:val="00535945"/>
    <w:rsid w:val="00536842"/>
    <w:rsid w:val="0054040B"/>
    <w:rsid w:val="005413B3"/>
    <w:rsid w:val="00544854"/>
    <w:rsid w:val="00544BB5"/>
    <w:rsid w:val="005451D8"/>
    <w:rsid w:val="0054619A"/>
    <w:rsid w:val="005461D7"/>
    <w:rsid w:val="00551E7E"/>
    <w:rsid w:val="0055282E"/>
    <w:rsid w:val="00553096"/>
    <w:rsid w:val="005535FE"/>
    <w:rsid w:val="00553CC9"/>
    <w:rsid w:val="005547BF"/>
    <w:rsid w:val="005548A3"/>
    <w:rsid w:val="00556A90"/>
    <w:rsid w:val="00556BC2"/>
    <w:rsid w:val="00565872"/>
    <w:rsid w:val="005752A0"/>
    <w:rsid w:val="00575D45"/>
    <w:rsid w:val="0057612D"/>
    <w:rsid w:val="0058102E"/>
    <w:rsid w:val="00582B14"/>
    <w:rsid w:val="00583B7B"/>
    <w:rsid w:val="00586FCE"/>
    <w:rsid w:val="005879EE"/>
    <w:rsid w:val="005903FC"/>
    <w:rsid w:val="0059232F"/>
    <w:rsid w:val="005973EA"/>
    <w:rsid w:val="005A0B57"/>
    <w:rsid w:val="005A1657"/>
    <w:rsid w:val="005A2754"/>
    <w:rsid w:val="005A5B9B"/>
    <w:rsid w:val="005B3A7D"/>
    <w:rsid w:val="005B4234"/>
    <w:rsid w:val="005B5CB5"/>
    <w:rsid w:val="005B5E4D"/>
    <w:rsid w:val="005B6E97"/>
    <w:rsid w:val="005B7CB8"/>
    <w:rsid w:val="005B7CC6"/>
    <w:rsid w:val="005C098F"/>
    <w:rsid w:val="005C49DF"/>
    <w:rsid w:val="005C68B1"/>
    <w:rsid w:val="005D0378"/>
    <w:rsid w:val="005D2B21"/>
    <w:rsid w:val="005D3F32"/>
    <w:rsid w:val="005D611A"/>
    <w:rsid w:val="005D6406"/>
    <w:rsid w:val="005D6ED6"/>
    <w:rsid w:val="005E0175"/>
    <w:rsid w:val="005E10F7"/>
    <w:rsid w:val="005E71F4"/>
    <w:rsid w:val="005E7BEA"/>
    <w:rsid w:val="005F0B1F"/>
    <w:rsid w:val="005F19C7"/>
    <w:rsid w:val="005F1E67"/>
    <w:rsid w:val="005F4C5F"/>
    <w:rsid w:val="005F5DE8"/>
    <w:rsid w:val="005F613D"/>
    <w:rsid w:val="00600A3B"/>
    <w:rsid w:val="006028F7"/>
    <w:rsid w:val="00603412"/>
    <w:rsid w:val="00603460"/>
    <w:rsid w:val="00603998"/>
    <w:rsid w:val="006057ED"/>
    <w:rsid w:val="00605C48"/>
    <w:rsid w:val="00605E9C"/>
    <w:rsid w:val="006065E5"/>
    <w:rsid w:val="00606B1F"/>
    <w:rsid w:val="006072FA"/>
    <w:rsid w:val="0060782A"/>
    <w:rsid w:val="00607DFA"/>
    <w:rsid w:val="00610963"/>
    <w:rsid w:val="00610CC0"/>
    <w:rsid w:val="00613794"/>
    <w:rsid w:val="00613837"/>
    <w:rsid w:val="00614221"/>
    <w:rsid w:val="00614C13"/>
    <w:rsid w:val="00615124"/>
    <w:rsid w:val="00615FE1"/>
    <w:rsid w:val="00621E37"/>
    <w:rsid w:val="00622B88"/>
    <w:rsid w:val="006231A1"/>
    <w:rsid w:val="0062474B"/>
    <w:rsid w:val="0062558A"/>
    <w:rsid w:val="00627B08"/>
    <w:rsid w:val="00631E65"/>
    <w:rsid w:val="00632377"/>
    <w:rsid w:val="00632E35"/>
    <w:rsid w:val="006335BD"/>
    <w:rsid w:val="00637C21"/>
    <w:rsid w:val="0064203A"/>
    <w:rsid w:val="0064551B"/>
    <w:rsid w:val="00646730"/>
    <w:rsid w:val="00647B0C"/>
    <w:rsid w:val="0065261F"/>
    <w:rsid w:val="006527CE"/>
    <w:rsid w:val="006572F7"/>
    <w:rsid w:val="00662774"/>
    <w:rsid w:val="00665984"/>
    <w:rsid w:val="006665A4"/>
    <w:rsid w:val="00666C23"/>
    <w:rsid w:val="00672EAD"/>
    <w:rsid w:val="00675D4A"/>
    <w:rsid w:val="00676CA2"/>
    <w:rsid w:val="00677E5C"/>
    <w:rsid w:val="006845F8"/>
    <w:rsid w:val="00684A65"/>
    <w:rsid w:val="00687002"/>
    <w:rsid w:val="00690299"/>
    <w:rsid w:val="00690B84"/>
    <w:rsid w:val="00691686"/>
    <w:rsid w:val="006934D9"/>
    <w:rsid w:val="00693D63"/>
    <w:rsid w:val="0069735D"/>
    <w:rsid w:val="006974C6"/>
    <w:rsid w:val="00697B85"/>
    <w:rsid w:val="00697E22"/>
    <w:rsid w:val="006A0341"/>
    <w:rsid w:val="006A3776"/>
    <w:rsid w:val="006A3C3A"/>
    <w:rsid w:val="006A6513"/>
    <w:rsid w:val="006A782A"/>
    <w:rsid w:val="006A7D72"/>
    <w:rsid w:val="006B049C"/>
    <w:rsid w:val="006B163F"/>
    <w:rsid w:val="006B39A3"/>
    <w:rsid w:val="006C0A93"/>
    <w:rsid w:val="006C2164"/>
    <w:rsid w:val="006C2165"/>
    <w:rsid w:val="006C2BA0"/>
    <w:rsid w:val="006C3184"/>
    <w:rsid w:val="006C394D"/>
    <w:rsid w:val="006C40C2"/>
    <w:rsid w:val="006C4910"/>
    <w:rsid w:val="006C4A11"/>
    <w:rsid w:val="006C5A0A"/>
    <w:rsid w:val="006C759B"/>
    <w:rsid w:val="006C7C08"/>
    <w:rsid w:val="006D26EA"/>
    <w:rsid w:val="006D3FC3"/>
    <w:rsid w:val="006D4EBD"/>
    <w:rsid w:val="006D657D"/>
    <w:rsid w:val="006E179D"/>
    <w:rsid w:val="006E1AED"/>
    <w:rsid w:val="006E1C99"/>
    <w:rsid w:val="006E2B6E"/>
    <w:rsid w:val="006E3BCC"/>
    <w:rsid w:val="006E7D14"/>
    <w:rsid w:val="006E7DAC"/>
    <w:rsid w:val="006F0CA0"/>
    <w:rsid w:val="006F4C34"/>
    <w:rsid w:val="006F53D1"/>
    <w:rsid w:val="006F67CD"/>
    <w:rsid w:val="007002F1"/>
    <w:rsid w:val="007005B0"/>
    <w:rsid w:val="00700601"/>
    <w:rsid w:val="007007A4"/>
    <w:rsid w:val="00701260"/>
    <w:rsid w:val="00701EF1"/>
    <w:rsid w:val="007024E3"/>
    <w:rsid w:val="00704C33"/>
    <w:rsid w:val="00707365"/>
    <w:rsid w:val="007133B9"/>
    <w:rsid w:val="0071379E"/>
    <w:rsid w:val="00717477"/>
    <w:rsid w:val="00720D0B"/>
    <w:rsid w:val="00722420"/>
    <w:rsid w:val="00723545"/>
    <w:rsid w:val="00723996"/>
    <w:rsid w:val="007245F4"/>
    <w:rsid w:val="00725D71"/>
    <w:rsid w:val="007270C5"/>
    <w:rsid w:val="007319D5"/>
    <w:rsid w:val="00733453"/>
    <w:rsid w:val="007345E5"/>
    <w:rsid w:val="00735208"/>
    <w:rsid w:val="0073553E"/>
    <w:rsid w:val="00735FE9"/>
    <w:rsid w:val="007414FA"/>
    <w:rsid w:val="00744116"/>
    <w:rsid w:val="0074590E"/>
    <w:rsid w:val="00747428"/>
    <w:rsid w:val="007474F4"/>
    <w:rsid w:val="007527FD"/>
    <w:rsid w:val="00752DDE"/>
    <w:rsid w:val="007556D0"/>
    <w:rsid w:val="00762AEA"/>
    <w:rsid w:val="00765D48"/>
    <w:rsid w:val="00767A75"/>
    <w:rsid w:val="007702D0"/>
    <w:rsid w:val="00770A9A"/>
    <w:rsid w:val="00773A71"/>
    <w:rsid w:val="00777BEF"/>
    <w:rsid w:val="007806A8"/>
    <w:rsid w:val="0078360F"/>
    <w:rsid w:val="00784DB9"/>
    <w:rsid w:val="00791A92"/>
    <w:rsid w:val="007927BD"/>
    <w:rsid w:val="00792840"/>
    <w:rsid w:val="00793B08"/>
    <w:rsid w:val="00793E78"/>
    <w:rsid w:val="0079403C"/>
    <w:rsid w:val="007A2CC9"/>
    <w:rsid w:val="007A37EF"/>
    <w:rsid w:val="007A59B4"/>
    <w:rsid w:val="007A5B0C"/>
    <w:rsid w:val="007A5DA4"/>
    <w:rsid w:val="007A6328"/>
    <w:rsid w:val="007B17A6"/>
    <w:rsid w:val="007B1D45"/>
    <w:rsid w:val="007B2B20"/>
    <w:rsid w:val="007B2ED4"/>
    <w:rsid w:val="007B4C10"/>
    <w:rsid w:val="007B687F"/>
    <w:rsid w:val="007B7942"/>
    <w:rsid w:val="007B7CEC"/>
    <w:rsid w:val="007C272C"/>
    <w:rsid w:val="007C3856"/>
    <w:rsid w:val="007C7904"/>
    <w:rsid w:val="007D010D"/>
    <w:rsid w:val="007D0736"/>
    <w:rsid w:val="007D09B6"/>
    <w:rsid w:val="007D2D4F"/>
    <w:rsid w:val="007D3C66"/>
    <w:rsid w:val="007D789A"/>
    <w:rsid w:val="007E1A63"/>
    <w:rsid w:val="007E4C01"/>
    <w:rsid w:val="007E7D21"/>
    <w:rsid w:val="007F059B"/>
    <w:rsid w:val="007F0C45"/>
    <w:rsid w:val="007F1095"/>
    <w:rsid w:val="007F36C3"/>
    <w:rsid w:val="007F4073"/>
    <w:rsid w:val="007F782A"/>
    <w:rsid w:val="008018BC"/>
    <w:rsid w:val="00803931"/>
    <w:rsid w:val="00805181"/>
    <w:rsid w:val="00806814"/>
    <w:rsid w:val="008136A2"/>
    <w:rsid w:val="0081420B"/>
    <w:rsid w:val="00817265"/>
    <w:rsid w:val="008202A1"/>
    <w:rsid w:val="00820B6A"/>
    <w:rsid w:val="00820FAD"/>
    <w:rsid w:val="00821712"/>
    <w:rsid w:val="0082433E"/>
    <w:rsid w:val="00827D59"/>
    <w:rsid w:val="00832516"/>
    <w:rsid w:val="00832FF7"/>
    <w:rsid w:val="00836FA5"/>
    <w:rsid w:val="00837C79"/>
    <w:rsid w:val="008411DE"/>
    <w:rsid w:val="0084120D"/>
    <w:rsid w:val="008436AE"/>
    <w:rsid w:val="00845D68"/>
    <w:rsid w:val="0084640A"/>
    <w:rsid w:val="00847CF3"/>
    <w:rsid w:val="008518FD"/>
    <w:rsid w:val="0085290A"/>
    <w:rsid w:val="00855882"/>
    <w:rsid w:val="00856A84"/>
    <w:rsid w:val="0085708A"/>
    <w:rsid w:val="0086062F"/>
    <w:rsid w:val="00860E93"/>
    <w:rsid w:val="00860F77"/>
    <w:rsid w:val="008615C9"/>
    <w:rsid w:val="00862800"/>
    <w:rsid w:val="00872EFF"/>
    <w:rsid w:val="00873819"/>
    <w:rsid w:val="00873DEF"/>
    <w:rsid w:val="008758F0"/>
    <w:rsid w:val="00875AFD"/>
    <w:rsid w:val="00880D2E"/>
    <w:rsid w:val="00882311"/>
    <w:rsid w:val="008850A0"/>
    <w:rsid w:val="0088576A"/>
    <w:rsid w:val="0088727B"/>
    <w:rsid w:val="00887A45"/>
    <w:rsid w:val="00893517"/>
    <w:rsid w:val="00896C55"/>
    <w:rsid w:val="0089744B"/>
    <w:rsid w:val="00897D66"/>
    <w:rsid w:val="008A2AF8"/>
    <w:rsid w:val="008A3544"/>
    <w:rsid w:val="008A67F4"/>
    <w:rsid w:val="008A695B"/>
    <w:rsid w:val="008B02AD"/>
    <w:rsid w:val="008B07A4"/>
    <w:rsid w:val="008B1236"/>
    <w:rsid w:val="008B1EC8"/>
    <w:rsid w:val="008B2285"/>
    <w:rsid w:val="008B4415"/>
    <w:rsid w:val="008B45A7"/>
    <w:rsid w:val="008C27D8"/>
    <w:rsid w:val="008C288F"/>
    <w:rsid w:val="008C2B73"/>
    <w:rsid w:val="008C56F2"/>
    <w:rsid w:val="008C7445"/>
    <w:rsid w:val="008D13E8"/>
    <w:rsid w:val="008D14A4"/>
    <w:rsid w:val="008D1AF7"/>
    <w:rsid w:val="008D2AB2"/>
    <w:rsid w:val="008D5027"/>
    <w:rsid w:val="008D580C"/>
    <w:rsid w:val="008D5F81"/>
    <w:rsid w:val="008D6E0C"/>
    <w:rsid w:val="008D7881"/>
    <w:rsid w:val="008E0372"/>
    <w:rsid w:val="008E2CB8"/>
    <w:rsid w:val="008E39BD"/>
    <w:rsid w:val="008E4202"/>
    <w:rsid w:val="008E5B55"/>
    <w:rsid w:val="008F1767"/>
    <w:rsid w:val="008F4531"/>
    <w:rsid w:val="008F4FE0"/>
    <w:rsid w:val="008F7BF1"/>
    <w:rsid w:val="00902B74"/>
    <w:rsid w:val="009030E1"/>
    <w:rsid w:val="0090327E"/>
    <w:rsid w:val="00905BD5"/>
    <w:rsid w:val="00911CD0"/>
    <w:rsid w:val="009120C5"/>
    <w:rsid w:val="00912198"/>
    <w:rsid w:val="00912468"/>
    <w:rsid w:val="0091253E"/>
    <w:rsid w:val="00912871"/>
    <w:rsid w:val="0091382B"/>
    <w:rsid w:val="00915ECA"/>
    <w:rsid w:val="00917A96"/>
    <w:rsid w:val="00921381"/>
    <w:rsid w:val="00922C67"/>
    <w:rsid w:val="00923C9E"/>
    <w:rsid w:val="00924212"/>
    <w:rsid w:val="009253C0"/>
    <w:rsid w:val="0092595B"/>
    <w:rsid w:val="009305CF"/>
    <w:rsid w:val="00932B55"/>
    <w:rsid w:val="009334EF"/>
    <w:rsid w:val="0093514F"/>
    <w:rsid w:val="0093657B"/>
    <w:rsid w:val="00936A65"/>
    <w:rsid w:val="0093704F"/>
    <w:rsid w:val="00940DE5"/>
    <w:rsid w:val="00941C94"/>
    <w:rsid w:val="009445C7"/>
    <w:rsid w:val="009453CE"/>
    <w:rsid w:val="0094541D"/>
    <w:rsid w:val="0094563D"/>
    <w:rsid w:val="00946FB7"/>
    <w:rsid w:val="00950515"/>
    <w:rsid w:val="00950BD9"/>
    <w:rsid w:val="009516EE"/>
    <w:rsid w:val="009551F9"/>
    <w:rsid w:val="00955BE5"/>
    <w:rsid w:val="009572B3"/>
    <w:rsid w:val="00962116"/>
    <w:rsid w:val="009625A7"/>
    <w:rsid w:val="00962AEF"/>
    <w:rsid w:val="0096608C"/>
    <w:rsid w:val="00966F51"/>
    <w:rsid w:val="00970D22"/>
    <w:rsid w:val="00972A5B"/>
    <w:rsid w:val="009734FD"/>
    <w:rsid w:val="00974680"/>
    <w:rsid w:val="00974CD3"/>
    <w:rsid w:val="00975C56"/>
    <w:rsid w:val="00976AEB"/>
    <w:rsid w:val="00977AB0"/>
    <w:rsid w:val="00985AA4"/>
    <w:rsid w:val="00985D21"/>
    <w:rsid w:val="00991172"/>
    <w:rsid w:val="00995DE7"/>
    <w:rsid w:val="0099659A"/>
    <w:rsid w:val="009969DF"/>
    <w:rsid w:val="00997ACB"/>
    <w:rsid w:val="009A38E2"/>
    <w:rsid w:val="009A40DD"/>
    <w:rsid w:val="009A6247"/>
    <w:rsid w:val="009A6617"/>
    <w:rsid w:val="009A7F19"/>
    <w:rsid w:val="009B01D9"/>
    <w:rsid w:val="009B1A37"/>
    <w:rsid w:val="009B2557"/>
    <w:rsid w:val="009B3E9D"/>
    <w:rsid w:val="009B5584"/>
    <w:rsid w:val="009B5E65"/>
    <w:rsid w:val="009B6A09"/>
    <w:rsid w:val="009C105F"/>
    <w:rsid w:val="009C1C53"/>
    <w:rsid w:val="009C4B26"/>
    <w:rsid w:val="009C638C"/>
    <w:rsid w:val="009C74AA"/>
    <w:rsid w:val="009C79B2"/>
    <w:rsid w:val="009E01F9"/>
    <w:rsid w:val="009E1BD1"/>
    <w:rsid w:val="009E20EC"/>
    <w:rsid w:val="009E2B6F"/>
    <w:rsid w:val="009E302D"/>
    <w:rsid w:val="009E3B41"/>
    <w:rsid w:val="009E4A6C"/>
    <w:rsid w:val="009E4E0E"/>
    <w:rsid w:val="009E6551"/>
    <w:rsid w:val="009F164A"/>
    <w:rsid w:val="009F2C6F"/>
    <w:rsid w:val="009F38D4"/>
    <w:rsid w:val="009F40B6"/>
    <w:rsid w:val="009F4737"/>
    <w:rsid w:val="009F654B"/>
    <w:rsid w:val="009F7235"/>
    <w:rsid w:val="009F7E62"/>
    <w:rsid w:val="00A01249"/>
    <w:rsid w:val="00A02D72"/>
    <w:rsid w:val="00A04623"/>
    <w:rsid w:val="00A06623"/>
    <w:rsid w:val="00A115CE"/>
    <w:rsid w:val="00A13875"/>
    <w:rsid w:val="00A15D94"/>
    <w:rsid w:val="00A16B5C"/>
    <w:rsid w:val="00A17DE3"/>
    <w:rsid w:val="00A20173"/>
    <w:rsid w:val="00A209D0"/>
    <w:rsid w:val="00A211D1"/>
    <w:rsid w:val="00A22095"/>
    <w:rsid w:val="00A220D6"/>
    <w:rsid w:val="00A221BF"/>
    <w:rsid w:val="00A234E3"/>
    <w:rsid w:val="00A23CC7"/>
    <w:rsid w:val="00A24211"/>
    <w:rsid w:val="00A259D0"/>
    <w:rsid w:val="00A274E7"/>
    <w:rsid w:val="00A30CEE"/>
    <w:rsid w:val="00A31C48"/>
    <w:rsid w:val="00A324DC"/>
    <w:rsid w:val="00A36368"/>
    <w:rsid w:val="00A36565"/>
    <w:rsid w:val="00A40D22"/>
    <w:rsid w:val="00A44D1D"/>
    <w:rsid w:val="00A45CCD"/>
    <w:rsid w:val="00A4712D"/>
    <w:rsid w:val="00A50EB4"/>
    <w:rsid w:val="00A53E13"/>
    <w:rsid w:val="00A5438F"/>
    <w:rsid w:val="00A54D21"/>
    <w:rsid w:val="00A555E6"/>
    <w:rsid w:val="00A562D1"/>
    <w:rsid w:val="00A60105"/>
    <w:rsid w:val="00A623D6"/>
    <w:rsid w:val="00A6259F"/>
    <w:rsid w:val="00A6284E"/>
    <w:rsid w:val="00A65B03"/>
    <w:rsid w:val="00A65F22"/>
    <w:rsid w:val="00A66B09"/>
    <w:rsid w:val="00A67B52"/>
    <w:rsid w:val="00A7312D"/>
    <w:rsid w:val="00A74675"/>
    <w:rsid w:val="00A747FD"/>
    <w:rsid w:val="00A80663"/>
    <w:rsid w:val="00A8196A"/>
    <w:rsid w:val="00A834C2"/>
    <w:rsid w:val="00A83803"/>
    <w:rsid w:val="00A84E7B"/>
    <w:rsid w:val="00A854B2"/>
    <w:rsid w:val="00A85B09"/>
    <w:rsid w:val="00A85E60"/>
    <w:rsid w:val="00A90B20"/>
    <w:rsid w:val="00A9209F"/>
    <w:rsid w:val="00A93BB0"/>
    <w:rsid w:val="00A952AD"/>
    <w:rsid w:val="00A9640F"/>
    <w:rsid w:val="00AA0F4C"/>
    <w:rsid w:val="00AA1F7F"/>
    <w:rsid w:val="00AA3FF0"/>
    <w:rsid w:val="00AA4FBE"/>
    <w:rsid w:val="00AA5BE8"/>
    <w:rsid w:val="00AA5DF9"/>
    <w:rsid w:val="00AB3FBC"/>
    <w:rsid w:val="00AB4BF6"/>
    <w:rsid w:val="00AB5153"/>
    <w:rsid w:val="00AB7849"/>
    <w:rsid w:val="00AC13B5"/>
    <w:rsid w:val="00AC582C"/>
    <w:rsid w:val="00AC5CD1"/>
    <w:rsid w:val="00AC623E"/>
    <w:rsid w:val="00AC6292"/>
    <w:rsid w:val="00AC78F3"/>
    <w:rsid w:val="00AD0996"/>
    <w:rsid w:val="00AD1A65"/>
    <w:rsid w:val="00AD311B"/>
    <w:rsid w:val="00AD4AB6"/>
    <w:rsid w:val="00AD4F41"/>
    <w:rsid w:val="00AD66BA"/>
    <w:rsid w:val="00AD6808"/>
    <w:rsid w:val="00AE08D6"/>
    <w:rsid w:val="00AE5428"/>
    <w:rsid w:val="00AE730D"/>
    <w:rsid w:val="00AF122D"/>
    <w:rsid w:val="00AF4649"/>
    <w:rsid w:val="00AF636A"/>
    <w:rsid w:val="00B0231A"/>
    <w:rsid w:val="00B02AAC"/>
    <w:rsid w:val="00B02AB5"/>
    <w:rsid w:val="00B043D3"/>
    <w:rsid w:val="00B05B1E"/>
    <w:rsid w:val="00B07E3B"/>
    <w:rsid w:val="00B10378"/>
    <w:rsid w:val="00B1086A"/>
    <w:rsid w:val="00B11BD6"/>
    <w:rsid w:val="00B12086"/>
    <w:rsid w:val="00B14EED"/>
    <w:rsid w:val="00B2220D"/>
    <w:rsid w:val="00B22FC4"/>
    <w:rsid w:val="00B25E4A"/>
    <w:rsid w:val="00B30883"/>
    <w:rsid w:val="00B30BD0"/>
    <w:rsid w:val="00B315D1"/>
    <w:rsid w:val="00B32501"/>
    <w:rsid w:val="00B341B6"/>
    <w:rsid w:val="00B349A3"/>
    <w:rsid w:val="00B36531"/>
    <w:rsid w:val="00B40947"/>
    <w:rsid w:val="00B409B4"/>
    <w:rsid w:val="00B4185C"/>
    <w:rsid w:val="00B428A2"/>
    <w:rsid w:val="00B43B9B"/>
    <w:rsid w:val="00B44147"/>
    <w:rsid w:val="00B453E9"/>
    <w:rsid w:val="00B4600D"/>
    <w:rsid w:val="00B4799A"/>
    <w:rsid w:val="00B517BA"/>
    <w:rsid w:val="00B55321"/>
    <w:rsid w:val="00B555D8"/>
    <w:rsid w:val="00B57506"/>
    <w:rsid w:val="00B57E13"/>
    <w:rsid w:val="00B60C64"/>
    <w:rsid w:val="00B61A53"/>
    <w:rsid w:val="00B61B05"/>
    <w:rsid w:val="00B63905"/>
    <w:rsid w:val="00B63DFB"/>
    <w:rsid w:val="00B65655"/>
    <w:rsid w:val="00B66293"/>
    <w:rsid w:val="00B67DEF"/>
    <w:rsid w:val="00B70ACC"/>
    <w:rsid w:val="00B7171F"/>
    <w:rsid w:val="00B718CE"/>
    <w:rsid w:val="00B75575"/>
    <w:rsid w:val="00B763DD"/>
    <w:rsid w:val="00B77CDC"/>
    <w:rsid w:val="00B81EE4"/>
    <w:rsid w:val="00B82D18"/>
    <w:rsid w:val="00B84A30"/>
    <w:rsid w:val="00B850AA"/>
    <w:rsid w:val="00B858EB"/>
    <w:rsid w:val="00B85BA0"/>
    <w:rsid w:val="00B905F5"/>
    <w:rsid w:val="00B90C1F"/>
    <w:rsid w:val="00B91FA6"/>
    <w:rsid w:val="00B91FB8"/>
    <w:rsid w:val="00B922C7"/>
    <w:rsid w:val="00B933E2"/>
    <w:rsid w:val="00B9380D"/>
    <w:rsid w:val="00B93E78"/>
    <w:rsid w:val="00B9471E"/>
    <w:rsid w:val="00B95FB2"/>
    <w:rsid w:val="00B96956"/>
    <w:rsid w:val="00B97121"/>
    <w:rsid w:val="00B97CE4"/>
    <w:rsid w:val="00BA0C3C"/>
    <w:rsid w:val="00BA35DA"/>
    <w:rsid w:val="00BA3738"/>
    <w:rsid w:val="00BA4BCD"/>
    <w:rsid w:val="00BA58B4"/>
    <w:rsid w:val="00BA6E63"/>
    <w:rsid w:val="00BB03A2"/>
    <w:rsid w:val="00BB0EFF"/>
    <w:rsid w:val="00BB186F"/>
    <w:rsid w:val="00BB353B"/>
    <w:rsid w:val="00BC04D9"/>
    <w:rsid w:val="00BC3DD7"/>
    <w:rsid w:val="00BD0FA9"/>
    <w:rsid w:val="00BD105C"/>
    <w:rsid w:val="00BD2798"/>
    <w:rsid w:val="00BD378C"/>
    <w:rsid w:val="00BD4D6F"/>
    <w:rsid w:val="00BD585E"/>
    <w:rsid w:val="00BD63E0"/>
    <w:rsid w:val="00BD7312"/>
    <w:rsid w:val="00BD7F37"/>
    <w:rsid w:val="00BE1A0A"/>
    <w:rsid w:val="00BE1E9C"/>
    <w:rsid w:val="00BE2684"/>
    <w:rsid w:val="00BE2CA7"/>
    <w:rsid w:val="00BE36E7"/>
    <w:rsid w:val="00BE5F6A"/>
    <w:rsid w:val="00BE72C5"/>
    <w:rsid w:val="00BE7421"/>
    <w:rsid w:val="00BE7AEC"/>
    <w:rsid w:val="00BE7FAC"/>
    <w:rsid w:val="00BF0A6B"/>
    <w:rsid w:val="00BF24FA"/>
    <w:rsid w:val="00BF2A9B"/>
    <w:rsid w:val="00BF34E4"/>
    <w:rsid w:val="00BF3D40"/>
    <w:rsid w:val="00BF53CF"/>
    <w:rsid w:val="00BF6365"/>
    <w:rsid w:val="00BF6D95"/>
    <w:rsid w:val="00BF6F34"/>
    <w:rsid w:val="00BF7B2C"/>
    <w:rsid w:val="00BF7B4B"/>
    <w:rsid w:val="00C00E49"/>
    <w:rsid w:val="00C02659"/>
    <w:rsid w:val="00C034BC"/>
    <w:rsid w:val="00C04C70"/>
    <w:rsid w:val="00C078E3"/>
    <w:rsid w:val="00C07BF4"/>
    <w:rsid w:val="00C131B9"/>
    <w:rsid w:val="00C160B2"/>
    <w:rsid w:val="00C20BDF"/>
    <w:rsid w:val="00C2167A"/>
    <w:rsid w:val="00C22EAC"/>
    <w:rsid w:val="00C235D8"/>
    <w:rsid w:val="00C24D1F"/>
    <w:rsid w:val="00C25340"/>
    <w:rsid w:val="00C25811"/>
    <w:rsid w:val="00C25D3C"/>
    <w:rsid w:val="00C27E17"/>
    <w:rsid w:val="00C3671F"/>
    <w:rsid w:val="00C36DD6"/>
    <w:rsid w:val="00C371E9"/>
    <w:rsid w:val="00C423CF"/>
    <w:rsid w:val="00C430C9"/>
    <w:rsid w:val="00C44A99"/>
    <w:rsid w:val="00C45267"/>
    <w:rsid w:val="00C45407"/>
    <w:rsid w:val="00C46FBE"/>
    <w:rsid w:val="00C473A4"/>
    <w:rsid w:val="00C518E1"/>
    <w:rsid w:val="00C51D7A"/>
    <w:rsid w:val="00C56189"/>
    <w:rsid w:val="00C61E30"/>
    <w:rsid w:val="00C63762"/>
    <w:rsid w:val="00C6448D"/>
    <w:rsid w:val="00C64A54"/>
    <w:rsid w:val="00C653C8"/>
    <w:rsid w:val="00C67C97"/>
    <w:rsid w:val="00C70008"/>
    <w:rsid w:val="00C700DF"/>
    <w:rsid w:val="00C7229B"/>
    <w:rsid w:val="00C723F1"/>
    <w:rsid w:val="00C745E1"/>
    <w:rsid w:val="00C76104"/>
    <w:rsid w:val="00C76BDD"/>
    <w:rsid w:val="00C77C12"/>
    <w:rsid w:val="00C831DA"/>
    <w:rsid w:val="00C8400E"/>
    <w:rsid w:val="00C85F4E"/>
    <w:rsid w:val="00C90B16"/>
    <w:rsid w:val="00C92542"/>
    <w:rsid w:val="00C93DD0"/>
    <w:rsid w:val="00C947EB"/>
    <w:rsid w:val="00C9566B"/>
    <w:rsid w:val="00C9608B"/>
    <w:rsid w:val="00C96F44"/>
    <w:rsid w:val="00C97C52"/>
    <w:rsid w:val="00CA0702"/>
    <w:rsid w:val="00CA3AE8"/>
    <w:rsid w:val="00CA4C46"/>
    <w:rsid w:val="00CA6C6B"/>
    <w:rsid w:val="00CA72C2"/>
    <w:rsid w:val="00CA768C"/>
    <w:rsid w:val="00CB23A3"/>
    <w:rsid w:val="00CB2EF0"/>
    <w:rsid w:val="00CB2F3C"/>
    <w:rsid w:val="00CB5898"/>
    <w:rsid w:val="00CB64A6"/>
    <w:rsid w:val="00CC011A"/>
    <w:rsid w:val="00CC3664"/>
    <w:rsid w:val="00CC37D9"/>
    <w:rsid w:val="00CC3D25"/>
    <w:rsid w:val="00CC4A8D"/>
    <w:rsid w:val="00CC61DF"/>
    <w:rsid w:val="00CC7B87"/>
    <w:rsid w:val="00CD023B"/>
    <w:rsid w:val="00CD09D4"/>
    <w:rsid w:val="00CD27F0"/>
    <w:rsid w:val="00CD37C1"/>
    <w:rsid w:val="00CD3D1A"/>
    <w:rsid w:val="00CE0CA3"/>
    <w:rsid w:val="00CE4498"/>
    <w:rsid w:val="00CE5925"/>
    <w:rsid w:val="00CE5B71"/>
    <w:rsid w:val="00CE6A3F"/>
    <w:rsid w:val="00CE6EAE"/>
    <w:rsid w:val="00CF7376"/>
    <w:rsid w:val="00D0023C"/>
    <w:rsid w:val="00D00275"/>
    <w:rsid w:val="00D01519"/>
    <w:rsid w:val="00D02005"/>
    <w:rsid w:val="00D0348C"/>
    <w:rsid w:val="00D0369C"/>
    <w:rsid w:val="00D04CAE"/>
    <w:rsid w:val="00D073E8"/>
    <w:rsid w:val="00D10EF8"/>
    <w:rsid w:val="00D11E88"/>
    <w:rsid w:val="00D11F27"/>
    <w:rsid w:val="00D128B3"/>
    <w:rsid w:val="00D141AC"/>
    <w:rsid w:val="00D16020"/>
    <w:rsid w:val="00D17780"/>
    <w:rsid w:val="00D17A7B"/>
    <w:rsid w:val="00D21B18"/>
    <w:rsid w:val="00D22952"/>
    <w:rsid w:val="00D2544C"/>
    <w:rsid w:val="00D2690A"/>
    <w:rsid w:val="00D26F9A"/>
    <w:rsid w:val="00D27488"/>
    <w:rsid w:val="00D348AC"/>
    <w:rsid w:val="00D35672"/>
    <w:rsid w:val="00D375FF"/>
    <w:rsid w:val="00D433B3"/>
    <w:rsid w:val="00D441A6"/>
    <w:rsid w:val="00D444AE"/>
    <w:rsid w:val="00D4455C"/>
    <w:rsid w:val="00D46438"/>
    <w:rsid w:val="00D500BF"/>
    <w:rsid w:val="00D50974"/>
    <w:rsid w:val="00D52ABE"/>
    <w:rsid w:val="00D531CB"/>
    <w:rsid w:val="00D54548"/>
    <w:rsid w:val="00D6118E"/>
    <w:rsid w:val="00D6349A"/>
    <w:rsid w:val="00D66BE4"/>
    <w:rsid w:val="00D671CA"/>
    <w:rsid w:val="00D6792E"/>
    <w:rsid w:val="00D714D9"/>
    <w:rsid w:val="00D71EF1"/>
    <w:rsid w:val="00D71FF9"/>
    <w:rsid w:val="00D72D4F"/>
    <w:rsid w:val="00D75DED"/>
    <w:rsid w:val="00D774AB"/>
    <w:rsid w:val="00D77C1A"/>
    <w:rsid w:val="00D802CB"/>
    <w:rsid w:val="00D80993"/>
    <w:rsid w:val="00D81D50"/>
    <w:rsid w:val="00D8358E"/>
    <w:rsid w:val="00D835BE"/>
    <w:rsid w:val="00D83920"/>
    <w:rsid w:val="00D84DAB"/>
    <w:rsid w:val="00D85405"/>
    <w:rsid w:val="00D87A88"/>
    <w:rsid w:val="00D87E06"/>
    <w:rsid w:val="00D924C2"/>
    <w:rsid w:val="00D92BEF"/>
    <w:rsid w:val="00D92CAF"/>
    <w:rsid w:val="00D93598"/>
    <w:rsid w:val="00D95AFE"/>
    <w:rsid w:val="00D9737E"/>
    <w:rsid w:val="00DA0DB2"/>
    <w:rsid w:val="00DA0F92"/>
    <w:rsid w:val="00DA299A"/>
    <w:rsid w:val="00DA5D4F"/>
    <w:rsid w:val="00DA69A2"/>
    <w:rsid w:val="00DB0AA4"/>
    <w:rsid w:val="00DB1063"/>
    <w:rsid w:val="00DB1710"/>
    <w:rsid w:val="00DB2761"/>
    <w:rsid w:val="00DB3D24"/>
    <w:rsid w:val="00DB5697"/>
    <w:rsid w:val="00DB7E88"/>
    <w:rsid w:val="00DC1BBD"/>
    <w:rsid w:val="00DC2D46"/>
    <w:rsid w:val="00DC52F0"/>
    <w:rsid w:val="00DC542B"/>
    <w:rsid w:val="00DC76B7"/>
    <w:rsid w:val="00DD0A35"/>
    <w:rsid w:val="00DD26FB"/>
    <w:rsid w:val="00DD2A11"/>
    <w:rsid w:val="00DD342B"/>
    <w:rsid w:val="00DD7ADB"/>
    <w:rsid w:val="00DE06D0"/>
    <w:rsid w:val="00DE234E"/>
    <w:rsid w:val="00DE2516"/>
    <w:rsid w:val="00DE2965"/>
    <w:rsid w:val="00DE352B"/>
    <w:rsid w:val="00DE59C5"/>
    <w:rsid w:val="00DE703E"/>
    <w:rsid w:val="00DE7065"/>
    <w:rsid w:val="00DE7468"/>
    <w:rsid w:val="00DE7E63"/>
    <w:rsid w:val="00DF1777"/>
    <w:rsid w:val="00DF1D56"/>
    <w:rsid w:val="00DF47ED"/>
    <w:rsid w:val="00E008EC"/>
    <w:rsid w:val="00E00D57"/>
    <w:rsid w:val="00E031FA"/>
    <w:rsid w:val="00E0523C"/>
    <w:rsid w:val="00E05D92"/>
    <w:rsid w:val="00E11DE5"/>
    <w:rsid w:val="00E1284D"/>
    <w:rsid w:val="00E1390E"/>
    <w:rsid w:val="00E15789"/>
    <w:rsid w:val="00E20985"/>
    <w:rsid w:val="00E2284B"/>
    <w:rsid w:val="00E22BAE"/>
    <w:rsid w:val="00E23F2E"/>
    <w:rsid w:val="00E2438D"/>
    <w:rsid w:val="00E2552F"/>
    <w:rsid w:val="00E31308"/>
    <w:rsid w:val="00E315A4"/>
    <w:rsid w:val="00E33E03"/>
    <w:rsid w:val="00E35386"/>
    <w:rsid w:val="00E3550A"/>
    <w:rsid w:val="00E355B7"/>
    <w:rsid w:val="00E3683D"/>
    <w:rsid w:val="00E36D48"/>
    <w:rsid w:val="00E40120"/>
    <w:rsid w:val="00E4032F"/>
    <w:rsid w:val="00E41AD8"/>
    <w:rsid w:val="00E4205C"/>
    <w:rsid w:val="00E4343A"/>
    <w:rsid w:val="00E438D1"/>
    <w:rsid w:val="00E449A0"/>
    <w:rsid w:val="00E57201"/>
    <w:rsid w:val="00E57DF3"/>
    <w:rsid w:val="00E63E80"/>
    <w:rsid w:val="00E648EC"/>
    <w:rsid w:val="00E66390"/>
    <w:rsid w:val="00E717D4"/>
    <w:rsid w:val="00E74D13"/>
    <w:rsid w:val="00E76A31"/>
    <w:rsid w:val="00E76ACB"/>
    <w:rsid w:val="00E76BA0"/>
    <w:rsid w:val="00E76E5A"/>
    <w:rsid w:val="00E773E4"/>
    <w:rsid w:val="00E829A5"/>
    <w:rsid w:val="00E83D7F"/>
    <w:rsid w:val="00E84C57"/>
    <w:rsid w:val="00E850B2"/>
    <w:rsid w:val="00E86353"/>
    <w:rsid w:val="00E86F01"/>
    <w:rsid w:val="00E912D9"/>
    <w:rsid w:val="00E93974"/>
    <w:rsid w:val="00E952EE"/>
    <w:rsid w:val="00EA015B"/>
    <w:rsid w:val="00EA0427"/>
    <w:rsid w:val="00EA18F0"/>
    <w:rsid w:val="00EA2A8C"/>
    <w:rsid w:val="00EA33A5"/>
    <w:rsid w:val="00EA39A7"/>
    <w:rsid w:val="00EA66DB"/>
    <w:rsid w:val="00EA7318"/>
    <w:rsid w:val="00EA7BBC"/>
    <w:rsid w:val="00EB08D1"/>
    <w:rsid w:val="00EB2718"/>
    <w:rsid w:val="00EB2834"/>
    <w:rsid w:val="00EB4A8D"/>
    <w:rsid w:val="00EB668C"/>
    <w:rsid w:val="00EB7AE0"/>
    <w:rsid w:val="00EB7B49"/>
    <w:rsid w:val="00EC03B2"/>
    <w:rsid w:val="00EC090F"/>
    <w:rsid w:val="00EC3CCA"/>
    <w:rsid w:val="00ED0014"/>
    <w:rsid w:val="00ED1AB3"/>
    <w:rsid w:val="00ED26D9"/>
    <w:rsid w:val="00EE1D10"/>
    <w:rsid w:val="00EF3521"/>
    <w:rsid w:val="00EF430E"/>
    <w:rsid w:val="00EF6A2D"/>
    <w:rsid w:val="00EF7AEE"/>
    <w:rsid w:val="00F03110"/>
    <w:rsid w:val="00F0373C"/>
    <w:rsid w:val="00F03B28"/>
    <w:rsid w:val="00F0429C"/>
    <w:rsid w:val="00F05A33"/>
    <w:rsid w:val="00F0629F"/>
    <w:rsid w:val="00F0702F"/>
    <w:rsid w:val="00F10686"/>
    <w:rsid w:val="00F12B96"/>
    <w:rsid w:val="00F12E5C"/>
    <w:rsid w:val="00F1392E"/>
    <w:rsid w:val="00F1574D"/>
    <w:rsid w:val="00F1751A"/>
    <w:rsid w:val="00F217CD"/>
    <w:rsid w:val="00F22D38"/>
    <w:rsid w:val="00F25570"/>
    <w:rsid w:val="00F301F7"/>
    <w:rsid w:val="00F302F5"/>
    <w:rsid w:val="00F31AE6"/>
    <w:rsid w:val="00F33A9C"/>
    <w:rsid w:val="00F34D0E"/>
    <w:rsid w:val="00F36936"/>
    <w:rsid w:val="00F36ABF"/>
    <w:rsid w:val="00F37BBA"/>
    <w:rsid w:val="00F408FF"/>
    <w:rsid w:val="00F41B5B"/>
    <w:rsid w:val="00F42085"/>
    <w:rsid w:val="00F4694B"/>
    <w:rsid w:val="00F474E8"/>
    <w:rsid w:val="00F50F45"/>
    <w:rsid w:val="00F5218C"/>
    <w:rsid w:val="00F53467"/>
    <w:rsid w:val="00F53FB5"/>
    <w:rsid w:val="00F5480E"/>
    <w:rsid w:val="00F57124"/>
    <w:rsid w:val="00F572BF"/>
    <w:rsid w:val="00F575AE"/>
    <w:rsid w:val="00F60C50"/>
    <w:rsid w:val="00F61C56"/>
    <w:rsid w:val="00F61C65"/>
    <w:rsid w:val="00F63E8A"/>
    <w:rsid w:val="00F6558E"/>
    <w:rsid w:val="00F710BD"/>
    <w:rsid w:val="00F71A08"/>
    <w:rsid w:val="00F744A9"/>
    <w:rsid w:val="00F9027B"/>
    <w:rsid w:val="00F94C42"/>
    <w:rsid w:val="00FA00D4"/>
    <w:rsid w:val="00FA01F0"/>
    <w:rsid w:val="00FA02FB"/>
    <w:rsid w:val="00FA57ED"/>
    <w:rsid w:val="00FA5C59"/>
    <w:rsid w:val="00FA64D0"/>
    <w:rsid w:val="00FA7646"/>
    <w:rsid w:val="00FA78A3"/>
    <w:rsid w:val="00FB0957"/>
    <w:rsid w:val="00FB0B3F"/>
    <w:rsid w:val="00FB214B"/>
    <w:rsid w:val="00FB30B1"/>
    <w:rsid w:val="00FB34C8"/>
    <w:rsid w:val="00FB5F53"/>
    <w:rsid w:val="00FC0B63"/>
    <w:rsid w:val="00FC15C0"/>
    <w:rsid w:val="00FC52B8"/>
    <w:rsid w:val="00FC53EF"/>
    <w:rsid w:val="00FD16BD"/>
    <w:rsid w:val="00FD2506"/>
    <w:rsid w:val="00FD4D0D"/>
    <w:rsid w:val="00FD6812"/>
    <w:rsid w:val="00FD70EB"/>
    <w:rsid w:val="00FE0900"/>
    <w:rsid w:val="00FE2B70"/>
    <w:rsid w:val="00FE3D95"/>
    <w:rsid w:val="00FE4031"/>
    <w:rsid w:val="00FE759D"/>
    <w:rsid w:val="00FE79D8"/>
    <w:rsid w:val="00FF2102"/>
    <w:rsid w:val="00FF27E6"/>
    <w:rsid w:val="00FF2D1B"/>
    <w:rsid w:val="00FF3676"/>
    <w:rsid w:val="00FF3C8E"/>
    <w:rsid w:val="021D3C39"/>
    <w:rsid w:val="02487F59"/>
    <w:rsid w:val="02CC3A21"/>
    <w:rsid w:val="04C1497D"/>
    <w:rsid w:val="05CD5665"/>
    <w:rsid w:val="06091FEE"/>
    <w:rsid w:val="07907119"/>
    <w:rsid w:val="07F619CA"/>
    <w:rsid w:val="08051DA7"/>
    <w:rsid w:val="097C0C4A"/>
    <w:rsid w:val="098445C2"/>
    <w:rsid w:val="0BFB45BF"/>
    <w:rsid w:val="0C7B105E"/>
    <w:rsid w:val="0C8C362D"/>
    <w:rsid w:val="0DF41400"/>
    <w:rsid w:val="0E5B7332"/>
    <w:rsid w:val="0F5E24F0"/>
    <w:rsid w:val="0F813268"/>
    <w:rsid w:val="0F8A33A0"/>
    <w:rsid w:val="0FF91BA5"/>
    <w:rsid w:val="100C0D4A"/>
    <w:rsid w:val="105C0792"/>
    <w:rsid w:val="109E2FF3"/>
    <w:rsid w:val="115759AA"/>
    <w:rsid w:val="11756EC5"/>
    <w:rsid w:val="11BF592F"/>
    <w:rsid w:val="12693F15"/>
    <w:rsid w:val="12F84FF0"/>
    <w:rsid w:val="137972DA"/>
    <w:rsid w:val="13D201B1"/>
    <w:rsid w:val="146A2831"/>
    <w:rsid w:val="14D927BA"/>
    <w:rsid w:val="15383702"/>
    <w:rsid w:val="189468DD"/>
    <w:rsid w:val="18A46EA6"/>
    <w:rsid w:val="18F85183"/>
    <w:rsid w:val="1A0C114E"/>
    <w:rsid w:val="1A137C5A"/>
    <w:rsid w:val="1A49448A"/>
    <w:rsid w:val="1AD6078C"/>
    <w:rsid w:val="1B9A5DAF"/>
    <w:rsid w:val="1B9D463D"/>
    <w:rsid w:val="1BAF43D2"/>
    <w:rsid w:val="1DD90F8D"/>
    <w:rsid w:val="1DFA290E"/>
    <w:rsid w:val="1DFB1B25"/>
    <w:rsid w:val="1E15131A"/>
    <w:rsid w:val="1E9374F2"/>
    <w:rsid w:val="1E9F1447"/>
    <w:rsid w:val="1EB72FBE"/>
    <w:rsid w:val="1F024D45"/>
    <w:rsid w:val="1F3B6C05"/>
    <w:rsid w:val="1F46367A"/>
    <w:rsid w:val="200D51C6"/>
    <w:rsid w:val="202B02A5"/>
    <w:rsid w:val="20364BFC"/>
    <w:rsid w:val="20867060"/>
    <w:rsid w:val="208876B7"/>
    <w:rsid w:val="210B58B7"/>
    <w:rsid w:val="21670CD8"/>
    <w:rsid w:val="21F318AE"/>
    <w:rsid w:val="226C2548"/>
    <w:rsid w:val="23184753"/>
    <w:rsid w:val="23B9220F"/>
    <w:rsid w:val="244331F4"/>
    <w:rsid w:val="248811EE"/>
    <w:rsid w:val="24D916CB"/>
    <w:rsid w:val="25FB1CE1"/>
    <w:rsid w:val="27CB412C"/>
    <w:rsid w:val="298A7942"/>
    <w:rsid w:val="2A156856"/>
    <w:rsid w:val="2BD76F13"/>
    <w:rsid w:val="2C257BEF"/>
    <w:rsid w:val="2CD31687"/>
    <w:rsid w:val="2D363F31"/>
    <w:rsid w:val="2D6B59E7"/>
    <w:rsid w:val="2E005C83"/>
    <w:rsid w:val="2E266BFF"/>
    <w:rsid w:val="2F4930F8"/>
    <w:rsid w:val="308A5F1D"/>
    <w:rsid w:val="30A76C25"/>
    <w:rsid w:val="30CD47A9"/>
    <w:rsid w:val="317841F3"/>
    <w:rsid w:val="333A4B46"/>
    <w:rsid w:val="340A771B"/>
    <w:rsid w:val="358D6882"/>
    <w:rsid w:val="361F2F9B"/>
    <w:rsid w:val="36314503"/>
    <w:rsid w:val="36E42A77"/>
    <w:rsid w:val="375D2D45"/>
    <w:rsid w:val="38F15624"/>
    <w:rsid w:val="3A41171E"/>
    <w:rsid w:val="3A704B82"/>
    <w:rsid w:val="3ADF2BA0"/>
    <w:rsid w:val="3BFB443E"/>
    <w:rsid w:val="3C4A3122"/>
    <w:rsid w:val="3CFA5E42"/>
    <w:rsid w:val="3D887E71"/>
    <w:rsid w:val="3DE2572D"/>
    <w:rsid w:val="3EA00E91"/>
    <w:rsid w:val="3EC53CA7"/>
    <w:rsid w:val="3ED33CD7"/>
    <w:rsid w:val="3F9C741A"/>
    <w:rsid w:val="407F0CC9"/>
    <w:rsid w:val="40B5459A"/>
    <w:rsid w:val="415747BE"/>
    <w:rsid w:val="43A905D2"/>
    <w:rsid w:val="4441439C"/>
    <w:rsid w:val="45765FC5"/>
    <w:rsid w:val="477C642E"/>
    <w:rsid w:val="47E248AB"/>
    <w:rsid w:val="47F73EDB"/>
    <w:rsid w:val="481B0CE6"/>
    <w:rsid w:val="48417B22"/>
    <w:rsid w:val="48D74C90"/>
    <w:rsid w:val="4AD62280"/>
    <w:rsid w:val="4B1A063B"/>
    <w:rsid w:val="4BA628A0"/>
    <w:rsid w:val="4C3F1DAE"/>
    <w:rsid w:val="4C7915F2"/>
    <w:rsid w:val="4CB71970"/>
    <w:rsid w:val="4CC0004D"/>
    <w:rsid w:val="4D2E02D9"/>
    <w:rsid w:val="4FE208D8"/>
    <w:rsid w:val="50314D4B"/>
    <w:rsid w:val="5103557F"/>
    <w:rsid w:val="52774F7B"/>
    <w:rsid w:val="52B27A0D"/>
    <w:rsid w:val="53082CDB"/>
    <w:rsid w:val="5364789B"/>
    <w:rsid w:val="53753441"/>
    <w:rsid w:val="53762AE3"/>
    <w:rsid w:val="53E35887"/>
    <w:rsid w:val="54D031C1"/>
    <w:rsid w:val="54FD1333"/>
    <w:rsid w:val="54FF5890"/>
    <w:rsid w:val="55214023"/>
    <w:rsid w:val="5571262A"/>
    <w:rsid w:val="56BE365F"/>
    <w:rsid w:val="5717629B"/>
    <w:rsid w:val="57F04693"/>
    <w:rsid w:val="580F1F99"/>
    <w:rsid w:val="581F74A8"/>
    <w:rsid w:val="58926502"/>
    <w:rsid w:val="58E4599D"/>
    <w:rsid w:val="59123A83"/>
    <w:rsid w:val="595543D4"/>
    <w:rsid w:val="59D51CD5"/>
    <w:rsid w:val="59DA3A56"/>
    <w:rsid w:val="5A447A00"/>
    <w:rsid w:val="5A7D7B14"/>
    <w:rsid w:val="5AC87083"/>
    <w:rsid w:val="5B4C68EB"/>
    <w:rsid w:val="5B821AE1"/>
    <w:rsid w:val="5CA7775F"/>
    <w:rsid w:val="5CD54625"/>
    <w:rsid w:val="5D026712"/>
    <w:rsid w:val="5D371EC5"/>
    <w:rsid w:val="5D977FF4"/>
    <w:rsid w:val="5E8C04CB"/>
    <w:rsid w:val="5F130AA8"/>
    <w:rsid w:val="5F616A0D"/>
    <w:rsid w:val="60975D06"/>
    <w:rsid w:val="609A2263"/>
    <w:rsid w:val="615E2127"/>
    <w:rsid w:val="61625F69"/>
    <w:rsid w:val="627A76FA"/>
    <w:rsid w:val="62A203CB"/>
    <w:rsid w:val="62CB5A78"/>
    <w:rsid w:val="63031805"/>
    <w:rsid w:val="631C498B"/>
    <w:rsid w:val="63A7542D"/>
    <w:rsid w:val="63C274B8"/>
    <w:rsid w:val="653D7744"/>
    <w:rsid w:val="66A85273"/>
    <w:rsid w:val="671D199A"/>
    <w:rsid w:val="67356FF7"/>
    <w:rsid w:val="681C1DC3"/>
    <w:rsid w:val="682F2C11"/>
    <w:rsid w:val="68394B4E"/>
    <w:rsid w:val="68F1293B"/>
    <w:rsid w:val="694E453C"/>
    <w:rsid w:val="698016E0"/>
    <w:rsid w:val="6A2B494A"/>
    <w:rsid w:val="6A880300"/>
    <w:rsid w:val="6B767D77"/>
    <w:rsid w:val="6BA41EEE"/>
    <w:rsid w:val="6D73073F"/>
    <w:rsid w:val="6D9F4077"/>
    <w:rsid w:val="6DE97638"/>
    <w:rsid w:val="6E062597"/>
    <w:rsid w:val="6E6D289E"/>
    <w:rsid w:val="6EB05F40"/>
    <w:rsid w:val="6EED66C8"/>
    <w:rsid w:val="6EF2742E"/>
    <w:rsid w:val="6FCD681A"/>
    <w:rsid w:val="707E532E"/>
    <w:rsid w:val="71CA1A93"/>
    <w:rsid w:val="71F86E92"/>
    <w:rsid w:val="73B33CF8"/>
    <w:rsid w:val="75B01330"/>
    <w:rsid w:val="76557B58"/>
    <w:rsid w:val="768A3B27"/>
    <w:rsid w:val="76D26395"/>
    <w:rsid w:val="77783CE4"/>
    <w:rsid w:val="77CA7E87"/>
    <w:rsid w:val="77E63C81"/>
    <w:rsid w:val="782433F5"/>
    <w:rsid w:val="788D2A1F"/>
    <w:rsid w:val="794D2E07"/>
    <w:rsid w:val="7A1869AF"/>
    <w:rsid w:val="7A2A3FF7"/>
    <w:rsid w:val="7A2F03DF"/>
    <w:rsid w:val="7B3262DB"/>
    <w:rsid w:val="7B437B22"/>
    <w:rsid w:val="7C817BDF"/>
    <w:rsid w:val="7D6A0ACF"/>
    <w:rsid w:val="7DF97BC0"/>
    <w:rsid w:val="7E6E1739"/>
    <w:rsid w:val="7E9A76D3"/>
    <w:rsid w:val="7ECE07A2"/>
    <w:rsid w:val="7F561EA6"/>
    <w:rsid w:val="7FC26D65"/>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qFormat="1" w:uiPriority="99" w:semiHidden="0" w:name="endnote reference"/>
    <w:lsdException w:qFormat="1" w:uiPriority="99" w:semiHidden="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qFormat="1" w:uiPriority="99" w:semiHidden="0" w:name="Normal (Web)"/>
    <w:lsdException w:qFormat="1" w:uiPriority="99" w:semiHidden="0"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qFormat="1" w:uiPriority="99" w:semiHidden="0" w:name="HTML Typewriter"/>
    <w:lsdException w:qFormat="1" w:uiPriority="99" w:semiHidden="0"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640" w:lineRule="exact"/>
      <w:ind w:firstLine="200" w:firstLineChars="200"/>
      <w:jc w:val="both"/>
    </w:pPr>
    <w:rPr>
      <w:rFonts w:ascii="Times New Roman" w:hAnsi="Times New Roman" w:eastAsia="仿宋_GB2312" w:cstheme="minorBidi"/>
      <w:kern w:val="2"/>
      <w:sz w:val="32"/>
      <w:szCs w:val="22"/>
      <w:lang w:val="en-US" w:eastAsia="zh-CN" w:bidi="ar-SA"/>
    </w:rPr>
  </w:style>
  <w:style w:type="paragraph" w:styleId="2">
    <w:name w:val="heading 1"/>
    <w:basedOn w:val="1"/>
    <w:next w:val="1"/>
    <w:link w:val="38"/>
    <w:qFormat/>
    <w:uiPriority w:val="9"/>
    <w:pPr>
      <w:keepNext/>
      <w:keepLines/>
      <w:spacing w:line="680" w:lineRule="exact"/>
      <w:ind w:firstLine="0" w:firstLineChars="0"/>
      <w:outlineLvl w:val="0"/>
    </w:pPr>
    <w:rPr>
      <w:rFonts w:eastAsia="黑体"/>
      <w:b/>
      <w:bCs/>
      <w:kern w:val="44"/>
      <w:sz w:val="36"/>
      <w:szCs w:val="44"/>
    </w:rPr>
  </w:style>
  <w:style w:type="paragraph" w:styleId="3">
    <w:name w:val="heading 2"/>
    <w:basedOn w:val="1"/>
    <w:next w:val="1"/>
    <w:link w:val="65"/>
    <w:unhideWhenUsed/>
    <w:qFormat/>
    <w:uiPriority w:val="9"/>
    <w:pPr>
      <w:keepNext/>
      <w:keepLines/>
      <w:spacing w:line="680" w:lineRule="exact"/>
      <w:outlineLvl w:val="1"/>
    </w:pPr>
    <w:rPr>
      <w:rFonts w:eastAsia="楷体_GB2312" w:cstheme="majorBidi"/>
      <w:b/>
      <w:bCs/>
      <w:szCs w:val="32"/>
    </w:rPr>
  </w:style>
  <w:style w:type="paragraph" w:styleId="4">
    <w:name w:val="heading 3"/>
    <w:basedOn w:val="1"/>
    <w:next w:val="1"/>
    <w:link w:val="64"/>
    <w:unhideWhenUsed/>
    <w:qFormat/>
    <w:uiPriority w:val="9"/>
    <w:pPr>
      <w:keepNext/>
      <w:keepLines/>
      <w:spacing w:line="680" w:lineRule="exact"/>
      <w:outlineLvl w:val="2"/>
    </w:pPr>
    <w:rPr>
      <w:bCs/>
      <w:szCs w:val="32"/>
    </w:rPr>
  </w:style>
  <w:style w:type="paragraph" w:styleId="5">
    <w:name w:val="heading 4"/>
    <w:basedOn w:val="1"/>
    <w:next w:val="1"/>
    <w:link w:val="67"/>
    <w:unhideWhenUsed/>
    <w:qFormat/>
    <w:uiPriority w:val="9"/>
    <w:pPr>
      <w:keepNext/>
      <w:keepLines/>
      <w:spacing w:before="280" w:after="290" w:line="376" w:lineRule="atLeast"/>
      <w:outlineLvl w:val="3"/>
    </w:pPr>
    <w:rPr>
      <w:rFonts w:asciiTheme="majorHAnsi" w:hAnsiTheme="majorHAnsi" w:eastAsiaTheme="majorEastAsia" w:cstheme="majorBidi"/>
      <w:b/>
      <w:bCs/>
      <w:sz w:val="28"/>
      <w:szCs w:val="28"/>
    </w:rPr>
  </w:style>
  <w:style w:type="character" w:default="1" w:styleId="16">
    <w:name w:val="Default Paragraph Font"/>
    <w:semiHidden/>
    <w:unhideWhenUsed/>
    <w:uiPriority w:val="1"/>
  </w:style>
  <w:style w:type="table" w:default="1" w:styleId="30">
    <w:name w:val="Normal Table"/>
    <w:semiHidden/>
    <w:unhideWhenUsed/>
    <w:uiPriority w:val="99"/>
    <w:tblPr>
      <w:tblLayout w:type="fixed"/>
      <w:tblCellMar>
        <w:top w:w="0" w:type="dxa"/>
        <w:left w:w="108" w:type="dxa"/>
        <w:bottom w:w="0" w:type="dxa"/>
        <w:right w:w="108" w:type="dxa"/>
      </w:tblCellMar>
    </w:tblPr>
  </w:style>
  <w:style w:type="paragraph" w:styleId="6">
    <w:name w:val="Document Map"/>
    <w:basedOn w:val="1"/>
    <w:link w:val="41"/>
    <w:unhideWhenUsed/>
    <w:qFormat/>
    <w:uiPriority w:val="99"/>
    <w:rPr>
      <w:rFonts w:ascii="宋体" w:eastAsia="宋体"/>
      <w:sz w:val="18"/>
      <w:szCs w:val="18"/>
    </w:rPr>
  </w:style>
  <w:style w:type="paragraph" w:styleId="7">
    <w:name w:val="toc 3"/>
    <w:basedOn w:val="1"/>
    <w:next w:val="1"/>
    <w:unhideWhenUsed/>
    <w:qFormat/>
    <w:uiPriority w:val="39"/>
    <w:pPr>
      <w:ind w:left="840" w:leftChars="400"/>
    </w:pPr>
  </w:style>
  <w:style w:type="paragraph" w:styleId="8">
    <w:name w:val="Date"/>
    <w:basedOn w:val="1"/>
    <w:next w:val="1"/>
    <w:link w:val="68"/>
    <w:unhideWhenUsed/>
    <w:qFormat/>
    <w:uiPriority w:val="99"/>
    <w:pPr>
      <w:spacing w:line="240" w:lineRule="auto"/>
      <w:ind w:left="100" w:leftChars="2500" w:firstLine="0" w:firstLineChars="0"/>
    </w:pPr>
    <w:rPr>
      <w:rFonts w:ascii="Calibri" w:hAnsi="Calibri" w:eastAsia="宋体"/>
      <w:sz w:val="21"/>
    </w:rPr>
  </w:style>
  <w:style w:type="paragraph" w:styleId="9">
    <w:name w:val="endnote text"/>
    <w:basedOn w:val="1"/>
    <w:link w:val="34"/>
    <w:unhideWhenUsed/>
    <w:qFormat/>
    <w:uiPriority w:val="99"/>
    <w:pPr>
      <w:snapToGrid w:val="0"/>
      <w:jc w:val="left"/>
    </w:pPr>
  </w:style>
  <w:style w:type="paragraph" w:styleId="10">
    <w:name w:val="Balloon Text"/>
    <w:basedOn w:val="1"/>
    <w:link w:val="36"/>
    <w:unhideWhenUsed/>
    <w:qFormat/>
    <w:uiPriority w:val="99"/>
    <w:rPr>
      <w:sz w:val="18"/>
      <w:szCs w:val="18"/>
    </w:rPr>
  </w:style>
  <w:style w:type="paragraph" w:styleId="11">
    <w:name w:val="footer"/>
    <w:basedOn w:val="1"/>
    <w:link w:val="33"/>
    <w:unhideWhenUsed/>
    <w:qFormat/>
    <w:uiPriority w:val="99"/>
    <w:pPr>
      <w:tabs>
        <w:tab w:val="center" w:pos="4153"/>
        <w:tab w:val="right" w:pos="8306"/>
      </w:tabs>
      <w:snapToGrid w:val="0"/>
      <w:jc w:val="left"/>
    </w:pPr>
    <w:rPr>
      <w:sz w:val="18"/>
      <w:szCs w:val="18"/>
    </w:rPr>
  </w:style>
  <w:style w:type="paragraph" w:styleId="12">
    <w:name w:val="header"/>
    <w:basedOn w:val="1"/>
    <w:link w:val="32"/>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style>
  <w:style w:type="paragraph" w:styleId="14">
    <w:name w:val="toc 2"/>
    <w:basedOn w:val="1"/>
    <w:next w:val="1"/>
    <w:unhideWhenUsed/>
    <w:qFormat/>
    <w:uiPriority w:val="39"/>
    <w:pPr>
      <w:ind w:left="420" w:leftChars="200"/>
    </w:pPr>
  </w:style>
  <w:style w:type="paragraph" w:styleId="15">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17">
    <w:name w:val="Strong"/>
    <w:basedOn w:val="16"/>
    <w:qFormat/>
    <w:uiPriority w:val="22"/>
    <w:rPr>
      <w:b/>
    </w:rPr>
  </w:style>
  <w:style w:type="character" w:styleId="18">
    <w:name w:val="endnote reference"/>
    <w:basedOn w:val="16"/>
    <w:unhideWhenUsed/>
    <w:qFormat/>
    <w:uiPriority w:val="99"/>
    <w:rPr>
      <w:vertAlign w:val="superscript"/>
    </w:rPr>
  </w:style>
  <w:style w:type="character" w:styleId="19">
    <w:name w:val="FollowedHyperlink"/>
    <w:basedOn w:val="16"/>
    <w:unhideWhenUsed/>
    <w:qFormat/>
    <w:uiPriority w:val="99"/>
    <w:rPr>
      <w:color w:val="954F72"/>
      <w:u w:val="single"/>
    </w:rPr>
  </w:style>
  <w:style w:type="character" w:styleId="20">
    <w:name w:val="Emphasis"/>
    <w:basedOn w:val="16"/>
    <w:qFormat/>
    <w:uiPriority w:val="20"/>
  </w:style>
  <w:style w:type="character" w:styleId="21">
    <w:name w:val="HTML Definition"/>
    <w:basedOn w:val="16"/>
    <w:unhideWhenUsed/>
    <w:qFormat/>
    <w:uiPriority w:val="99"/>
  </w:style>
  <w:style w:type="character" w:styleId="22">
    <w:name w:val="HTML Typewriter"/>
    <w:basedOn w:val="16"/>
    <w:unhideWhenUsed/>
    <w:qFormat/>
    <w:uiPriority w:val="99"/>
    <w:rPr>
      <w:rFonts w:ascii="monospace" w:hAnsi="monospace" w:eastAsia="monospace" w:cs="monospace"/>
      <w:sz w:val="20"/>
    </w:rPr>
  </w:style>
  <w:style w:type="character" w:styleId="23">
    <w:name w:val="HTML Acronym"/>
    <w:basedOn w:val="16"/>
    <w:unhideWhenUsed/>
    <w:qFormat/>
    <w:uiPriority w:val="99"/>
  </w:style>
  <w:style w:type="character" w:styleId="24">
    <w:name w:val="HTML Variable"/>
    <w:basedOn w:val="16"/>
    <w:unhideWhenUsed/>
    <w:qFormat/>
    <w:uiPriority w:val="99"/>
  </w:style>
  <w:style w:type="character" w:styleId="25">
    <w:name w:val="Hyperlink"/>
    <w:basedOn w:val="16"/>
    <w:unhideWhenUsed/>
    <w:qFormat/>
    <w:uiPriority w:val="99"/>
    <w:rPr>
      <w:color w:val="0563C1" w:themeColor="hyperlink"/>
      <w:u w:val="single"/>
      <w14:textFill>
        <w14:solidFill>
          <w14:schemeClr w14:val="hlink"/>
        </w14:solidFill>
      </w14:textFill>
    </w:rPr>
  </w:style>
  <w:style w:type="character" w:styleId="26">
    <w:name w:val="HTML Code"/>
    <w:basedOn w:val="16"/>
    <w:unhideWhenUsed/>
    <w:qFormat/>
    <w:uiPriority w:val="99"/>
    <w:rPr>
      <w:rFonts w:hint="default" w:ascii="monospace" w:hAnsi="monospace" w:eastAsia="monospace" w:cs="monospace"/>
      <w:sz w:val="20"/>
    </w:rPr>
  </w:style>
  <w:style w:type="character" w:styleId="27">
    <w:name w:val="HTML Cite"/>
    <w:basedOn w:val="16"/>
    <w:unhideWhenUsed/>
    <w:qFormat/>
    <w:uiPriority w:val="99"/>
  </w:style>
  <w:style w:type="character" w:styleId="28">
    <w:name w:val="HTML Keyboard"/>
    <w:basedOn w:val="16"/>
    <w:unhideWhenUsed/>
    <w:qFormat/>
    <w:uiPriority w:val="99"/>
    <w:rPr>
      <w:rFonts w:hint="default" w:ascii="monospace" w:hAnsi="monospace" w:eastAsia="monospace" w:cs="monospace"/>
      <w:sz w:val="20"/>
    </w:rPr>
  </w:style>
  <w:style w:type="character" w:styleId="29">
    <w:name w:val="HTML Sample"/>
    <w:basedOn w:val="16"/>
    <w:unhideWhenUsed/>
    <w:qFormat/>
    <w:uiPriority w:val="99"/>
    <w:rPr>
      <w:rFonts w:hint="default" w:ascii="monospace" w:hAnsi="monospace" w:eastAsia="monospace" w:cs="monospace"/>
    </w:rPr>
  </w:style>
  <w:style w:type="table" w:styleId="31">
    <w:name w:val="Table Grid"/>
    <w:basedOn w:val="30"/>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32">
    <w:name w:val="页眉 Char"/>
    <w:basedOn w:val="16"/>
    <w:link w:val="12"/>
    <w:qFormat/>
    <w:uiPriority w:val="99"/>
    <w:rPr>
      <w:sz w:val="18"/>
      <w:szCs w:val="18"/>
    </w:rPr>
  </w:style>
  <w:style w:type="character" w:customStyle="1" w:styleId="33">
    <w:name w:val="页脚 Char"/>
    <w:basedOn w:val="16"/>
    <w:link w:val="11"/>
    <w:qFormat/>
    <w:uiPriority w:val="99"/>
    <w:rPr>
      <w:sz w:val="18"/>
      <w:szCs w:val="18"/>
    </w:rPr>
  </w:style>
  <w:style w:type="character" w:customStyle="1" w:styleId="34">
    <w:name w:val="尾注文本 Char"/>
    <w:basedOn w:val="16"/>
    <w:link w:val="9"/>
    <w:semiHidden/>
    <w:qFormat/>
    <w:uiPriority w:val="99"/>
  </w:style>
  <w:style w:type="paragraph" w:customStyle="1" w:styleId="35">
    <w:name w:val="Char Char Char Char Char Char Char Char Char Char Char Char Char Char Char Char Char Char"/>
    <w:basedOn w:val="1"/>
    <w:semiHidden/>
    <w:qFormat/>
    <w:uiPriority w:val="0"/>
    <w:rPr>
      <w:rFonts w:eastAsia="宋体" w:cs="Times New Roman"/>
      <w:szCs w:val="24"/>
    </w:rPr>
  </w:style>
  <w:style w:type="character" w:customStyle="1" w:styleId="36">
    <w:name w:val="批注框文本 Char"/>
    <w:basedOn w:val="16"/>
    <w:link w:val="10"/>
    <w:semiHidden/>
    <w:qFormat/>
    <w:uiPriority w:val="99"/>
    <w:rPr>
      <w:sz w:val="18"/>
      <w:szCs w:val="18"/>
    </w:rPr>
  </w:style>
  <w:style w:type="paragraph" w:customStyle="1" w:styleId="37">
    <w:name w:val="无间隔1"/>
    <w:qFormat/>
    <w:uiPriority w:val="1"/>
    <w:pPr>
      <w:widowControl w:val="0"/>
      <w:jc w:val="center"/>
    </w:pPr>
    <w:rPr>
      <w:rFonts w:ascii="Times New Roman" w:hAnsi="Times New Roman" w:eastAsia="宋体" w:cs="Times New Roman"/>
      <w:kern w:val="2"/>
      <w:sz w:val="22"/>
      <w:szCs w:val="22"/>
      <w:lang w:val="en-US" w:eastAsia="zh-CN" w:bidi="ar-SA"/>
    </w:rPr>
  </w:style>
  <w:style w:type="character" w:customStyle="1" w:styleId="38">
    <w:name w:val="标题 1 Char"/>
    <w:basedOn w:val="16"/>
    <w:link w:val="2"/>
    <w:qFormat/>
    <w:uiPriority w:val="9"/>
    <w:rPr>
      <w:rFonts w:eastAsia="黑体" w:cstheme="minorBidi"/>
      <w:b/>
      <w:bCs/>
      <w:kern w:val="44"/>
      <w:sz w:val="36"/>
      <w:szCs w:val="44"/>
    </w:rPr>
  </w:style>
  <w:style w:type="paragraph" w:customStyle="1" w:styleId="39">
    <w:name w:val="列出段落1"/>
    <w:basedOn w:val="1"/>
    <w:qFormat/>
    <w:uiPriority w:val="34"/>
    <w:pPr>
      <w:ind w:firstLine="420"/>
    </w:pPr>
  </w:style>
  <w:style w:type="table" w:customStyle="1" w:styleId="40">
    <w:name w:val="网格型1"/>
    <w:basedOn w:val="30"/>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41">
    <w:name w:val="文档结构图 Char"/>
    <w:basedOn w:val="16"/>
    <w:link w:val="6"/>
    <w:semiHidden/>
    <w:qFormat/>
    <w:uiPriority w:val="99"/>
    <w:rPr>
      <w:rFonts w:ascii="宋体" w:eastAsia="宋体"/>
      <w:sz w:val="18"/>
      <w:szCs w:val="18"/>
    </w:rPr>
  </w:style>
  <w:style w:type="table" w:customStyle="1" w:styleId="42">
    <w:name w:val="网格型2"/>
    <w:basedOn w:val="30"/>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43">
    <w:name w:val="msonormal"/>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44">
    <w:name w:val="font5"/>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45">
    <w:name w:val="xl65"/>
    <w:basedOn w:val="1"/>
    <w:qFormat/>
    <w:uiPriority w:val="0"/>
    <w:pPr>
      <w:widowControl/>
      <w:spacing w:before="100" w:beforeAutospacing="1" w:after="100" w:afterAutospacing="1"/>
      <w:jc w:val="center"/>
    </w:pPr>
    <w:rPr>
      <w:rFonts w:ascii="宋体" w:hAnsi="宋体" w:eastAsia="宋体" w:cs="宋体"/>
      <w:kern w:val="0"/>
      <w:sz w:val="24"/>
      <w:szCs w:val="24"/>
    </w:rPr>
  </w:style>
  <w:style w:type="paragraph" w:customStyle="1" w:styleId="46">
    <w:name w:val="xl66"/>
    <w:basedOn w:val="1"/>
    <w:qFormat/>
    <w:uiPriority w:val="0"/>
    <w:pPr>
      <w:widowControl/>
      <w:spacing w:before="100" w:beforeAutospacing="1" w:after="100" w:afterAutospacing="1"/>
      <w:jc w:val="center"/>
    </w:pPr>
    <w:rPr>
      <w:rFonts w:ascii="宋体" w:hAnsi="宋体" w:eastAsia="宋体" w:cs="宋体"/>
      <w:kern w:val="0"/>
      <w:sz w:val="24"/>
      <w:szCs w:val="24"/>
    </w:rPr>
  </w:style>
  <w:style w:type="paragraph" w:customStyle="1" w:styleId="47">
    <w:name w:val="xl67"/>
    <w:basedOn w:val="1"/>
    <w:qFormat/>
    <w:uiPriority w:val="0"/>
    <w:pPr>
      <w:widowControl/>
      <w:spacing w:before="100" w:beforeAutospacing="1" w:after="100" w:afterAutospacing="1"/>
      <w:jc w:val="center"/>
    </w:pPr>
    <w:rPr>
      <w:rFonts w:ascii="宋体" w:hAnsi="宋体" w:eastAsia="宋体" w:cs="宋体"/>
      <w:kern w:val="0"/>
      <w:sz w:val="24"/>
      <w:szCs w:val="24"/>
    </w:rPr>
  </w:style>
  <w:style w:type="paragraph" w:customStyle="1" w:styleId="48">
    <w:name w:val="xl68"/>
    <w:basedOn w:val="1"/>
    <w:qFormat/>
    <w:uiPriority w:val="0"/>
    <w:pPr>
      <w:widowControl/>
      <w:spacing w:before="100" w:beforeAutospacing="1" w:after="100" w:afterAutospacing="1"/>
      <w:jc w:val="center"/>
    </w:pPr>
    <w:rPr>
      <w:rFonts w:ascii="宋体" w:hAnsi="宋体" w:eastAsia="宋体" w:cs="宋体"/>
      <w:kern w:val="0"/>
      <w:sz w:val="24"/>
      <w:szCs w:val="24"/>
    </w:rPr>
  </w:style>
  <w:style w:type="paragraph" w:customStyle="1" w:styleId="49">
    <w:name w:val="xl69"/>
    <w:basedOn w:val="1"/>
    <w:qFormat/>
    <w:uiPriority w:val="0"/>
    <w:pPr>
      <w:widowControl/>
      <w:spacing w:before="100" w:beforeAutospacing="1" w:after="100" w:afterAutospacing="1"/>
      <w:jc w:val="center"/>
    </w:pPr>
    <w:rPr>
      <w:rFonts w:ascii="宋体" w:hAnsi="宋体" w:eastAsia="宋体" w:cs="宋体"/>
      <w:kern w:val="0"/>
      <w:sz w:val="24"/>
      <w:szCs w:val="24"/>
    </w:rPr>
  </w:style>
  <w:style w:type="paragraph" w:customStyle="1" w:styleId="50">
    <w:name w:val="xl63"/>
    <w:basedOn w:val="1"/>
    <w:qFormat/>
    <w:uiPriority w:val="0"/>
    <w:pPr>
      <w:widowControl/>
      <w:spacing w:before="100" w:beforeAutospacing="1" w:after="100" w:afterAutospacing="1"/>
      <w:jc w:val="center"/>
    </w:pPr>
    <w:rPr>
      <w:rFonts w:ascii="宋体" w:hAnsi="宋体" w:eastAsia="宋体" w:cs="宋体"/>
      <w:kern w:val="0"/>
      <w:sz w:val="24"/>
      <w:szCs w:val="24"/>
    </w:rPr>
  </w:style>
  <w:style w:type="paragraph" w:customStyle="1" w:styleId="51">
    <w:name w:val="xl64"/>
    <w:basedOn w:val="1"/>
    <w:qFormat/>
    <w:uiPriority w:val="0"/>
    <w:pPr>
      <w:widowControl/>
      <w:spacing w:before="100" w:beforeAutospacing="1" w:after="100" w:afterAutospacing="1"/>
      <w:jc w:val="center"/>
    </w:pPr>
    <w:rPr>
      <w:rFonts w:ascii="宋体" w:hAnsi="宋体" w:eastAsia="宋体" w:cs="宋体"/>
      <w:kern w:val="0"/>
      <w:sz w:val="24"/>
      <w:szCs w:val="24"/>
    </w:rPr>
  </w:style>
  <w:style w:type="paragraph" w:customStyle="1" w:styleId="52">
    <w:name w:val="xl70"/>
    <w:basedOn w:val="1"/>
    <w:qFormat/>
    <w:uiPriority w:val="0"/>
    <w:pPr>
      <w:widowControl/>
      <w:spacing w:before="100" w:beforeAutospacing="1" w:after="100" w:afterAutospacing="1"/>
      <w:jc w:val="center"/>
    </w:pPr>
    <w:rPr>
      <w:rFonts w:ascii="宋体" w:hAnsi="宋体" w:eastAsia="宋体" w:cs="宋体"/>
      <w:kern w:val="0"/>
      <w:sz w:val="24"/>
      <w:szCs w:val="24"/>
    </w:rPr>
  </w:style>
  <w:style w:type="paragraph" w:customStyle="1" w:styleId="53">
    <w:name w:val="xl71"/>
    <w:basedOn w:val="1"/>
    <w:qFormat/>
    <w:uiPriority w:val="0"/>
    <w:pPr>
      <w:widowControl/>
      <w:spacing w:before="100" w:beforeAutospacing="1" w:after="100" w:afterAutospacing="1"/>
      <w:jc w:val="center"/>
    </w:pPr>
    <w:rPr>
      <w:rFonts w:ascii="宋体" w:hAnsi="宋体" w:eastAsia="宋体" w:cs="宋体"/>
      <w:kern w:val="0"/>
      <w:sz w:val="24"/>
      <w:szCs w:val="24"/>
    </w:rPr>
  </w:style>
  <w:style w:type="paragraph" w:customStyle="1" w:styleId="54">
    <w:name w:val="xl72"/>
    <w:basedOn w:val="1"/>
    <w:qFormat/>
    <w:uiPriority w:val="0"/>
    <w:pPr>
      <w:widowControl/>
      <w:spacing w:before="100" w:beforeAutospacing="1" w:after="100" w:afterAutospacing="1"/>
      <w:jc w:val="center"/>
    </w:pPr>
    <w:rPr>
      <w:rFonts w:ascii="宋体" w:hAnsi="宋体" w:eastAsia="宋体" w:cs="宋体"/>
      <w:kern w:val="0"/>
      <w:sz w:val="24"/>
      <w:szCs w:val="24"/>
    </w:rPr>
  </w:style>
  <w:style w:type="paragraph" w:customStyle="1" w:styleId="55">
    <w:name w:val="xl79"/>
    <w:basedOn w:val="1"/>
    <w:qFormat/>
    <w:uiPriority w:val="0"/>
    <w:pPr>
      <w:widowControl/>
      <w:spacing w:before="100" w:beforeAutospacing="1" w:after="100" w:afterAutospacing="1"/>
      <w:jc w:val="center"/>
    </w:pPr>
    <w:rPr>
      <w:rFonts w:ascii="宋体" w:hAnsi="宋体" w:eastAsia="宋体" w:cs="宋体"/>
      <w:kern w:val="0"/>
      <w:sz w:val="24"/>
      <w:szCs w:val="24"/>
    </w:rPr>
  </w:style>
  <w:style w:type="paragraph" w:customStyle="1" w:styleId="56">
    <w:name w:val="xl81"/>
    <w:basedOn w:val="1"/>
    <w:qFormat/>
    <w:uiPriority w:val="0"/>
    <w:pPr>
      <w:widowControl/>
      <w:spacing w:before="100" w:beforeAutospacing="1" w:after="100" w:afterAutospacing="1"/>
      <w:jc w:val="center"/>
    </w:pPr>
    <w:rPr>
      <w:rFonts w:ascii="宋体" w:hAnsi="宋体" w:eastAsia="宋体" w:cs="宋体"/>
      <w:kern w:val="0"/>
      <w:sz w:val="24"/>
      <w:szCs w:val="24"/>
    </w:rPr>
  </w:style>
  <w:style w:type="paragraph" w:customStyle="1" w:styleId="57">
    <w:name w:val="xl83"/>
    <w:basedOn w:val="1"/>
    <w:qFormat/>
    <w:uiPriority w:val="0"/>
    <w:pPr>
      <w:widowControl/>
      <w:spacing w:before="100" w:beforeAutospacing="1" w:after="100" w:afterAutospacing="1"/>
      <w:jc w:val="center"/>
    </w:pPr>
    <w:rPr>
      <w:rFonts w:ascii="宋体" w:hAnsi="宋体" w:eastAsia="宋体" w:cs="宋体"/>
      <w:kern w:val="0"/>
      <w:sz w:val="24"/>
      <w:szCs w:val="24"/>
    </w:rPr>
  </w:style>
  <w:style w:type="paragraph" w:customStyle="1" w:styleId="58">
    <w:name w:val="表头"/>
    <w:basedOn w:val="1"/>
    <w:qFormat/>
    <w:uiPriority w:val="0"/>
    <w:pPr>
      <w:widowControl/>
      <w:spacing w:before="100" w:beforeAutospacing="1" w:after="100" w:afterAutospacing="1" w:line="240" w:lineRule="exact"/>
      <w:ind w:firstLine="0" w:firstLineChars="0"/>
      <w:jc w:val="center"/>
    </w:pPr>
    <w:rPr>
      <w:rFonts w:eastAsia="黑体" w:cs="宋体"/>
      <w:b/>
      <w:kern w:val="0"/>
      <w:sz w:val="21"/>
      <w:szCs w:val="24"/>
    </w:rPr>
  </w:style>
  <w:style w:type="character" w:customStyle="1" w:styleId="59">
    <w:name w:val="hover1"/>
    <w:basedOn w:val="16"/>
    <w:qFormat/>
    <w:uiPriority w:val="0"/>
    <w:rPr>
      <w:color w:val="000000"/>
      <w:shd w:val="clear" w:color="auto" w:fill="FFFFFF"/>
    </w:rPr>
  </w:style>
  <w:style w:type="character" w:customStyle="1" w:styleId="60">
    <w:name w:val="wx-space"/>
    <w:basedOn w:val="16"/>
    <w:qFormat/>
    <w:uiPriority w:val="0"/>
  </w:style>
  <w:style w:type="character" w:customStyle="1" w:styleId="61">
    <w:name w:val="wx-space1"/>
    <w:basedOn w:val="16"/>
    <w:qFormat/>
    <w:uiPriority w:val="0"/>
  </w:style>
  <w:style w:type="character" w:customStyle="1" w:styleId="62">
    <w:name w:val="fontstrikethrough"/>
    <w:basedOn w:val="16"/>
    <w:qFormat/>
    <w:uiPriority w:val="0"/>
    <w:rPr>
      <w:strike/>
    </w:rPr>
  </w:style>
  <w:style w:type="character" w:customStyle="1" w:styleId="63">
    <w:name w:val="fontborder"/>
    <w:basedOn w:val="16"/>
    <w:qFormat/>
    <w:uiPriority w:val="0"/>
    <w:rPr>
      <w:bdr w:val="single" w:color="000000" w:sz="4" w:space="0"/>
    </w:rPr>
  </w:style>
  <w:style w:type="character" w:customStyle="1" w:styleId="64">
    <w:name w:val="标题 3 Char"/>
    <w:basedOn w:val="16"/>
    <w:link w:val="4"/>
    <w:qFormat/>
    <w:uiPriority w:val="9"/>
    <w:rPr>
      <w:rFonts w:eastAsia="仿宋_GB2312" w:cstheme="minorBidi"/>
      <w:bCs/>
      <w:kern w:val="2"/>
      <w:sz w:val="32"/>
      <w:szCs w:val="32"/>
    </w:rPr>
  </w:style>
  <w:style w:type="character" w:customStyle="1" w:styleId="65">
    <w:name w:val="标题 2 Char"/>
    <w:basedOn w:val="16"/>
    <w:link w:val="3"/>
    <w:qFormat/>
    <w:uiPriority w:val="9"/>
    <w:rPr>
      <w:rFonts w:eastAsia="楷体_GB2312" w:cstheme="majorBidi"/>
      <w:b/>
      <w:bCs/>
      <w:kern w:val="2"/>
      <w:sz w:val="32"/>
      <w:szCs w:val="32"/>
    </w:rPr>
  </w:style>
  <w:style w:type="paragraph" w:customStyle="1" w:styleId="66">
    <w:name w:val="列出段落11"/>
    <w:basedOn w:val="1"/>
    <w:qFormat/>
    <w:uiPriority w:val="34"/>
    <w:pPr>
      <w:ind w:firstLine="420"/>
    </w:pPr>
  </w:style>
  <w:style w:type="character" w:customStyle="1" w:styleId="67">
    <w:name w:val="标题 4 Char"/>
    <w:basedOn w:val="16"/>
    <w:link w:val="5"/>
    <w:qFormat/>
    <w:uiPriority w:val="9"/>
    <w:rPr>
      <w:rFonts w:asciiTheme="majorHAnsi" w:hAnsiTheme="majorHAnsi" w:eastAsiaTheme="majorEastAsia" w:cstheme="majorBidi"/>
      <w:b/>
      <w:bCs/>
      <w:kern w:val="2"/>
      <w:sz w:val="28"/>
      <w:szCs w:val="28"/>
    </w:rPr>
  </w:style>
  <w:style w:type="character" w:customStyle="1" w:styleId="68">
    <w:name w:val="日期 Char"/>
    <w:basedOn w:val="16"/>
    <w:link w:val="8"/>
    <w:qFormat/>
    <w:uiPriority w:val="99"/>
    <w:rPr>
      <w:rFonts w:ascii="Calibri" w:hAnsi="Calibri" w:cstheme="minorBidi"/>
      <w:kern w:val="2"/>
      <w:sz w:val="21"/>
      <w:szCs w:val="22"/>
    </w:rPr>
  </w:style>
  <w:style w:type="table" w:customStyle="1" w:styleId="69">
    <w:name w:val="网格型3"/>
    <w:basedOn w:val="3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70">
    <w:name w:val="TOC 标题1"/>
    <w:basedOn w:val="2"/>
    <w:next w:val="1"/>
    <w:unhideWhenUsed/>
    <w:qFormat/>
    <w:uiPriority w:val="39"/>
    <w:pPr>
      <w:widowControl/>
      <w:spacing w:line="276" w:lineRule="auto"/>
      <w:jc w:val="left"/>
      <w:outlineLvl w:val="9"/>
    </w:pPr>
    <w:rPr>
      <w:rFonts w:ascii="Cambria" w:hAnsi="Cambria" w:eastAsia="宋体" w:cs="Times New Roman"/>
      <w:color w:val="365F91"/>
      <w:kern w:val="0"/>
      <w:sz w:val="28"/>
      <w:szCs w:val="28"/>
    </w:rPr>
  </w:style>
  <w:style w:type="paragraph" w:customStyle="1" w:styleId="71">
    <w:name w:val="font6"/>
    <w:basedOn w:val="1"/>
    <w:qFormat/>
    <w:uiPriority w:val="0"/>
    <w:pPr>
      <w:widowControl/>
      <w:spacing w:before="100" w:beforeAutospacing="1" w:after="100" w:afterAutospacing="1" w:line="240" w:lineRule="auto"/>
      <w:ind w:firstLine="0" w:firstLineChars="0"/>
      <w:jc w:val="left"/>
    </w:pPr>
    <w:rPr>
      <w:rFonts w:ascii="宋体" w:hAnsi="宋体" w:eastAsia="宋体" w:cs="宋体"/>
      <w:b/>
      <w:bCs/>
      <w:color w:val="000000"/>
      <w:kern w:val="0"/>
      <w:sz w:val="21"/>
      <w:szCs w:val="21"/>
    </w:rPr>
  </w:style>
  <w:style w:type="paragraph" w:customStyle="1" w:styleId="72">
    <w:name w:val="font7"/>
    <w:basedOn w:val="1"/>
    <w:qFormat/>
    <w:uiPriority w:val="0"/>
    <w:pPr>
      <w:widowControl/>
      <w:spacing w:before="100" w:beforeAutospacing="1" w:after="100" w:afterAutospacing="1" w:line="240" w:lineRule="auto"/>
      <w:ind w:firstLine="0" w:firstLineChars="0"/>
      <w:jc w:val="left"/>
    </w:pPr>
    <w:rPr>
      <w:rFonts w:ascii="Calibri" w:hAnsi="Calibri" w:eastAsia="宋体" w:cs="Calibri"/>
      <w:b/>
      <w:bCs/>
      <w:color w:val="000000"/>
      <w:kern w:val="0"/>
      <w:sz w:val="21"/>
      <w:szCs w:val="21"/>
    </w:rPr>
  </w:style>
  <w:style w:type="paragraph" w:customStyle="1" w:styleId="73">
    <w:name w:val="font8"/>
    <w:basedOn w:val="1"/>
    <w:qFormat/>
    <w:uiPriority w:val="0"/>
    <w:pPr>
      <w:widowControl/>
      <w:spacing w:before="100" w:beforeAutospacing="1" w:after="100" w:afterAutospacing="1" w:line="240" w:lineRule="auto"/>
      <w:ind w:firstLine="0" w:firstLineChars="0"/>
      <w:jc w:val="left"/>
    </w:pPr>
    <w:rPr>
      <w:rFonts w:ascii="宋体" w:hAnsi="宋体" w:eastAsia="宋体" w:cs="宋体"/>
      <w:color w:val="000000"/>
      <w:kern w:val="0"/>
      <w:sz w:val="21"/>
      <w:szCs w:val="21"/>
    </w:rPr>
  </w:style>
  <w:style w:type="paragraph" w:customStyle="1" w:styleId="74">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b/>
      <w:bCs/>
      <w:color w:val="000000"/>
      <w:kern w:val="0"/>
      <w:sz w:val="21"/>
      <w:szCs w:val="21"/>
    </w:rPr>
  </w:style>
  <w:style w:type="paragraph" w:customStyle="1" w:styleId="75">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eastAsia="宋体" w:cs="宋体"/>
      <w:b/>
      <w:bCs/>
      <w:color w:val="000000"/>
      <w:kern w:val="0"/>
      <w:sz w:val="21"/>
      <w:szCs w:val="21"/>
    </w:rPr>
  </w:style>
  <w:style w:type="paragraph" w:customStyle="1" w:styleId="76">
    <w:name w:val="xl7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b/>
      <w:bCs/>
      <w:color w:val="000000"/>
      <w:kern w:val="0"/>
      <w:sz w:val="21"/>
      <w:szCs w:val="21"/>
    </w:rPr>
  </w:style>
  <w:style w:type="paragraph" w:customStyle="1" w:styleId="77">
    <w:name w:val="xl76"/>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eastAsia="宋体" w:cs="宋体"/>
      <w:b/>
      <w:bCs/>
      <w:color w:val="000000"/>
      <w:kern w:val="0"/>
      <w:sz w:val="21"/>
      <w:szCs w:val="21"/>
    </w:rPr>
  </w:style>
  <w:style w:type="character" w:customStyle="1" w:styleId="78">
    <w:name w:val="不明显强调1"/>
    <w:basedOn w:val="16"/>
    <w:qFormat/>
    <w:uiPriority w:val="19"/>
    <w:rPr>
      <w:i/>
      <w:iCs/>
      <w:color w:val="7F7F7F"/>
    </w:rPr>
  </w:style>
  <w:style w:type="table" w:customStyle="1" w:styleId="79">
    <w:name w:val="网格型4"/>
    <w:basedOn w:val="3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80">
    <w:name w:val="网格型5"/>
    <w:basedOn w:val="3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81">
    <w:name w:val="网格型6"/>
    <w:basedOn w:val="3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82">
    <w:name w:val="网格型7"/>
    <w:basedOn w:val="3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83">
    <w:name w:val="网格型8"/>
    <w:basedOn w:val="3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84">
    <w:name w:val="网格型9"/>
    <w:basedOn w:val="3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85">
    <w:name w:val="网格型10"/>
    <w:basedOn w:val="3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86">
    <w:name w:val="font11"/>
    <w:basedOn w:val="16"/>
    <w:qFormat/>
    <w:uiPriority w:val="0"/>
    <w:rPr>
      <w:rFonts w:ascii="黑体" w:hAnsi="宋体" w:eastAsia="黑体" w:cs="黑体"/>
      <w:b/>
      <w:color w:val="000000"/>
      <w:sz w:val="21"/>
      <w:szCs w:val="21"/>
      <w:u w:val="none"/>
    </w:rPr>
  </w:style>
  <w:style w:type="paragraph" w:customStyle="1" w:styleId="87">
    <w:name w:val="表格"/>
    <w:basedOn w:val="1"/>
    <w:qFormat/>
    <w:uiPriority w:val="0"/>
    <w:pPr>
      <w:spacing w:line="240" w:lineRule="auto"/>
      <w:ind w:firstLine="0" w:firstLineChars="0"/>
      <w:jc w:val="center"/>
    </w:pPr>
    <w:rPr>
      <w:rFonts w:eastAsia="宋体"/>
      <w:sz w:val="22"/>
    </w:rPr>
  </w:style>
  <w:style w:type="character" w:customStyle="1" w:styleId="88">
    <w:name w:val="font21"/>
    <w:basedOn w:val="16"/>
    <w:qFormat/>
    <w:uiPriority w:val="0"/>
    <w:rPr>
      <w:rFonts w:ascii="黑体" w:hAnsi="宋体" w:eastAsia="黑体" w:cs="黑体"/>
      <w:b/>
      <w:color w:val="000000"/>
      <w:sz w:val="21"/>
      <w:szCs w:val="21"/>
      <w:u w:val="none"/>
    </w:rPr>
  </w:style>
  <w:style w:type="character" w:customStyle="1" w:styleId="89">
    <w:name w:val="font31"/>
    <w:basedOn w:val="16"/>
    <w:qFormat/>
    <w:uiPriority w:val="0"/>
    <w:rPr>
      <w:rFonts w:hint="default" w:ascii="Times New Roman" w:hAnsi="Times New Roman" w:cs="Times New Roman"/>
      <w:color w:val="000000"/>
      <w:sz w:val="24"/>
      <w:szCs w:val="24"/>
      <w:u w:val="none"/>
    </w:rPr>
  </w:style>
  <w:style w:type="paragraph" w:customStyle="1" w:styleId="90">
    <w:name w:val="WPSOffice手动目录 1"/>
    <w:qFormat/>
    <w:uiPriority w:val="0"/>
    <w:rPr>
      <w:rFonts w:ascii="Times New Roman" w:hAnsi="Times New Roman" w:eastAsia="宋体" w:cs="Times New Roman"/>
      <w:lang w:val="en-US" w:eastAsia="zh-CN" w:bidi="ar-SA"/>
    </w:rPr>
  </w:style>
  <w:style w:type="paragraph" w:customStyle="1" w:styleId="91">
    <w:name w:val="WPSOffice手动目录 2"/>
    <w:qFormat/>
    <w:uiPriority w:val="0"/>
    <w:pPr>
      <w:ind w:left="200" w:leftChars="200"/>
    </w:pPr>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customXml" Target="../customXml/item1.xml"/><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C210813-C1AB-4854-9B01-CFF5D5EF540D}">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33</Pages>
  <Words>1959</Words>
  <Characters>11170</Characters>
  <Lines>93</Lines>
  <Paragraphs>26</Paragraphs>
  <TotalTime>11</TotalTime>
  <ScaleCrop>false</ScaleCrop>
  <LinksUpToDate>false</LinksUpToDate>
  <CharactersWithSpaces>13103</CharactersWithSpaces>
  <Application>WPS Office_10.1.0.7468_F1E327BC-269C-435d-A152-05C5408002CA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2020-08-15T01:59:00Z</dcterms:created>
  <dc:creator>xwh</dc:creator>
  <cp:lastModifiedBy>Administrator</cp:lastModifiedBy>
  <cp:lastPrinted>2021-01-18T04:57:00Z</cp:lastPrinted>
  <dcterms:modified xsi:type="dcterms:W3CDTF">2021-09-24T01:43:55Z</dcterms:modified>
  <cp:revision>236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2052-10.1.0.7468</vt:lpwstr>
  </property>
</Properties>
</file>