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91" w:right="817" w:hanging="1309"/>
        <w:spacing w:before="160" w:line="277" w:lineRule="auto"/>
        <w:outlineLvl w:val="0"/>
        <w:rPr>
          <w:rFonts w:ascii="SimHei" w:hAnsi="SimHei" w:eastAsia="SimHei" w:cs="SimHei"/>
          <w:sz w:val="49"/>
          <w:szCs w:val="49"/>
        </w:rPr>
      </w:pPr>
      <w:r>
        <w:rPr>
          <w:rFonts w:ascii="SimHei" w:hAnsi="SimHei" w:eastAsia="SimHei" w:cs="SimHei"/>
          <w:sz w:val="49"/>
          <w:szCs w:val="49"/>
          <w:b/>
          <w:bCs/>
          <w:spacing w:val="6"/>
        </w:rPr>
        <w:t>2024年度城步苗族自治县住房和城乡建</w:t>
      </w:r>
      <w:r>
        <w:rPr>
          <w:rFonts w:ascii="SimHei" w:hAnsi="SimHei" w:eastAsia="SimHei" w:cs="SimHei"/>
          <w:sz w:val="49"/>
          <w:szCs w:val="49"/>
          <w:spacing w:val="4"/>
        </w:rPr>
        <w:t xml:space="preserve"> </w:t>
      </w:r>
      <w:r>
        <w:rPr>
          <w:rFonts w:ascii="SimHei" w:hAnsi="SimHei" w:eastAsia="SimHei" w:cs="SimHei"/>
          <w:sz w:val="49"/>
          <w:szCs w:val="49"/>
          <w:b/>
          <w:bCs/>
          <w:spacing w:val="1"/>
        </w:rPr>
        <w:t>设局整体支出绩效自评报告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039"/>
        <w:spacing w:before="114" w:line="221" w:lineRule="auto"/>
        <w:rPr>
          <w:rFonts w:ascii="FangSong" w:hAnsi="FangSong" w:eastAsia="FangSong" w:cs="FangSong"/>
          <w:sz w:val="35"/>
          <w:szCs w:val="35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2225691</wp:posOffset>
            </wp:positionH>
            <wp:positionV relativeFrom="paragraph">
              <wp:posOffset>-526512</wp:posOffset>
            </wp:positionV>
            <wp:extent cx="1473215" cy="146050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3215" cy="146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5"/>
          <w:szCs w:val="35"/>
          <w:b/>
          <w:bCs/>
          <w:spacing w:val="-11"/>
        </w:rPr>
        <w:t>单位名称：城步苗族自治县住房和城乡建设局</w:t>
      </w:r>
    </w:p>
    <w:p>
      <w:pPr>
        <w:ind w:left="3079"/>
        <w:spacing w:before="144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b/>
          <w:bCs/>
          <w:spacing w:val="43"/>
        </w:rPr>
        <w:t>2025年4月10日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spacing w:before="85"/>
        <w:jc w:val="right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position w:val="-19"/>
        </w:rPr>
        <w:drawing>
          <wp:inline distT="0" distB="0" distL="0" distR="0">
            <wp:extent cx="380998" cy="37469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0998" cy="37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6"/>
          <w:szCs w:val="26"/>
          <w:spacing w:val="25"/>
        </w:rPr>
        <w:t>扫描全能王创建</w:t>
      </w:r>
    </w:p>
    <w:p>
      <w:pPr>
        <w:sectPr>
          <w:footerReference w:type="default" r:id="rId1"/>
          <w:pgSz w:w="11900" w:h="16840"/>
          <w:pgMar w:top="1431" w:right="568" w:bottom="1" w:left="1785" w:header="0" w:footer="0" w:gutter="0"/>
        </w:sectPr>
        <w:rPr>
          <w:rFonts w:ascii="SimSun" w:hAnsi="SimSun" w:eastAsia="SimSun" w:cs="SimSun"/>
          <w:sz w:val="26"/>
          <w:szCs w:val="26"/>
        </w:rPr>
      </w:pPr>
    </w:p>
    <w:p>
      <w:pPr>
        <w:pStyle w:val="BodyText"/>
        <w:spacing w:line="316" w:lineRule="auto"/>
        <w:rPr/>
      </w:pPr>
      <w:r/>
    </w:p>
    <w:p>
      <w:pPr>
        <w:ind w:left="2580" w:right="728" w:hanging="2510"/>
        <w:spacing w:before="136" w:line="226" w:lineRule="auto"/>
        <w:rPr>
          <w:rFonts w:ascii="SimHei" w:hAnsi="SimHei" w:eastAsia="SimHei" w:cs="SimHei"/>
          <w:sz w:val="42"/>
          <w:szCs w:val="42"/>
        </w:rPr>
      </w:pPr>
      <w:r>
        <w:rPr>
          <w:rFonts w:ascii="SimHei" w:hAnsi="SimHei" w:eastAsia="SimHei" w:cs="SimHei"/>
          <w:sz w:val="42"/>
          <w:szCs w:val="42"/>
          <w:b/>
          <w:bCs/>
          <w:spacing w:val="11"/>
        </w:rPr>
        <w:t>2024年度城步苗族自治县住房和城乡建设局整</w:t>
      </w:r>
      <w:r>
        <w:rPr>
          <w:rFonts w:ascii="SimHei" w:hAnsi="SimHei" w:eastAsia="SimHei" w:cs="SimHei"/>
          <w:sz w:val="42"/>
          <w:szCs w:val="42"/>
          <w:spacing w:val="17"/>
        </w:rPr>
        <w:t xml:space="preserve"> </w:t>
      </w:r>
      <w:r>
        <w:rPr>
          <w:rFonts w:ascii="SimHei" w:hAnsi="SimHei" w:eastAsia="SimHei" w:cs="SimHei"/>
          <w:sz w:val="42"/>
          <w:szCs w:val="42"/>
          <w:b/>
          <w:bCs/>
          <w:spacing w:val="-1"/>
        </w:rPr>
        <w:t>体支出绩效自评报告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59"/>
        <w:spacing w:before="9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一、部门、单位基本情况</w:t>
      </w:r>
    </w:p>
    <w:p>
      <w:pPr>
        <w:ind w:left="239"/>
        <w:spacing w:before="127" w:line="227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24"/>
        </w:rPr>
        <w:t>(一)机构设置情况</w:t>
      </w:r>
    </w:p>
    <w:p>
      <w:pPr>
        <w:ind w:left="104" w:right="814" w:firstLine="599"/>
        <w:spacing w:before="111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本单位机构共三个，分别为局机关、住房和城乡建设服务中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心和规划建设执法大队。</w:t>
      </w:r>
    </w:p>
    <w:p>
      <w:pPr>
        <w:ind w:left="239"/>
        <w:spacing w:before="1" w:line="226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20"/>
        </w:rPr>
        <w:t>(二)人员编制情况</w:t>
      </w:r>
    </w:p>
    <w:p>
      <w:pPr>
        <w:ind w:left="104" w:right="591" w:firstLine="609"/>
        <w:spacing w:before="115" w:line="31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2024年末，住建局编制人数共52名，实有人数43人，其中：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行政编制人员14名，实有人数10人，工勤人员编制1名，实有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人数2人，事业编制37名，实有人数31人。</w:t>
      </w:r>
    </w:p>
    <w:p>
      <w:pPr>
        <w:ind w:left="239"/>
        <w:spacing w:before="13" w:line="224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9"/>
        </w:rPr>
        <w:t>(三)主要职能职责</w:t>
      </w:r>
    </w:p>
    <w:p>
      <w:pPr>
        <w:ind w:left="104" w:right="718" w:firstLine="640"/>
        <w:spacing w:before="170" w:line="36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贯彻执行有关建设法规、政策，协调城乡规划、勘察设计、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风景名胜景区规划设计、建设工程设计方案和建</w:t>
      </w:r>
      <w:r>
        <w:rPr>
          <w:rFonts w:ascii="FangSong" w:hAnsi="FangSong" w:eastAsia="FangSong" w:cs="FangSong"/>
          <w:sz w:val="30"/>
          <w:szCs w:val="30"/>
          <w:spacing w:val="11"/>
        </w:rPr>
        <w:t>设工程初步设计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的审查，指导、协调城镇供水、排水、供气等工作，指导城建档案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和市政工程管理工作；负责综合协调和指导、监督房地产业和房地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产市场等。</w:t>
      </w:r>
    </w:p>
    <w:p>
      <w:pPr>
        <w:ind w:left="239"/>
        <w:spacing w:line="226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7"/>
        </w:rPr>
        <w:t>(四)绩效目标设定情况</w:t>
      </w:r>
    </w:p>
    <w:p>
      <w:pPr>
        <w:ind w:left="104" w:right="841" w:firstLine="640"/>
        <w:spacing w:before="114" w:line="37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根据项目计划和要求，我局已基本完成整体绩效目标的设置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工</w:t>
      </w:r>
      <w:r>
        <w:rPr>
          <w:rFonts w:ascii="FangSong" w:hAnsi="FangSong" w:eastAsia="FangSong" w:cs="FangSong"/>
          <w:sz w:val="24"/>
          <w:szCs w:val="24"/>
          <w:spacing w:val="-1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作</w:t>
      </w:r>
      <w:r>
        <w:rPr>
          <w:rFonts w:ascii="FangSong" w:hAnsi="FangSong" w:eastAsia="FangSong" w:cs="FangSong"/>
          <w:sz w:val="24"/>
          <w:szCs w:val="24"/>
          <w:spacing w:val="-3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。</w:t>
      </w:r>
    </w:p>
    <w:p>
      <w:pPr>
        <w:ind w:left="109"/>
        <w:spacing w:before="1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二、部门整体支出管理及使用情况</w:t>
      </w:r>
    </w:p>
    <w:p>
      <w:pPr>
        <w:ind w:left="919"/>
        <w:spacing w:before="197" w:line="224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7"/>
        </w:rPr>
        <w:t>(一)部门预决算情况</w:t>
      </w:r>
    </w:p>
    <w:p>
      <w:pPr>
        <w:ind w:left="745"/>
        <w:spacing w:before="23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3"/>
        </w:rPr>
        <w:t>1.</w:t>
      </w:r>
      <w:r>
        <w:rPr>
          <w:rFonts w:ascii="FangSong" w:hAnsi="FangSong" w:eastAsia="FangSong" w:cs="FangSong"/>
          <w:sz w:val="30"/>
          <w:szCs w:val="30"/>
          <w:spacing w:val="-3"/>
        </w:rPr>
        <w:t>部门预算情况</w:t>
      </w:r>
    </w:p>
    <w:p>
      <w:pPr>
        <w:ind w:left="745"/>
        <w:spacing w:before="17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2024年年初预算安排收入902.6万元</w:t>
      </w:r>
      <w:r>
        <w:rPr>
          <w:rFonts w:ascii="FangSong" w:hAnsi="FangSong" w:eastAsia="FangSong" w:cs="FangSong"/>
          <w:sz w:val="30"/>
          <w:szCs w:val="30"/>
          <w:spacing w:val="15"/>
        </w:rPr>
        <w:t>，其中一般公共财政拨</w:t>
      </w:r>
    </w:p>
    <w:p>
      <w:pPr>
        <w:spacing w:line="222" w:lineRule="auto"/>
        <w:sectPr>
          <w:footerReference w:type="default" r:id="rId4"/>
          <w:pgSz w:w="11900" w:h="16840"/>
          <w:pgMar w:top="1431" w:right="557" w:bottom="750" w:left="1785" w:header="0" w:footer="21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150" w:right="791"/>
        <w:spacing w:before="61" w:line="36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款902.6万元；2024年年初预算安</w:t>
      </w:r>
      <w:r>
        <w:rPr>
          <w:rFonts w:ascii="FangSong" w:hAnsi="FangSong" w:eastAsia="FangSong" w:cs="FangSong"/>
          <w:sz w:val="30"/>
          <w:szCs w:val="30"/>
          <w:spacing w:val="15"/>
        </w:rPr>
        <w:t>排支出902.6万元，其中：基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本支出646.95万元，项目支出255</w:t>
      </w:r>
      <w:r>
        <w:rPr>
          <w:rFonts w:ascii="FangSong" w:hAnsi="FangSong" w:eastAsia="FangSong" w:cs="FangSong"/>
          <w:sz w:val="30"/>
          <w:szCs w:val="30"/>
          <w:spacing w:val="14"/>
        </w:rPr>
        <w:t>.65万元。</w:t>
      </w:r>
    </w:p>
    <w:p>
      <w:pPr>
        <w:ind w:left="749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2.部门决算情况(含年中预算追加情况)</w:t>
      </w:r>
    </w:p>
    <w:p>
      <w:pPr>
        <w:ind w:left="150" w:right="760" w:firstLine="599"/>
        <w:spacing w:before="210" w:line="35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2024年决算总收入15215.06万元，较预算增加14312.46万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元，总支出15215.06万元，其中：基本支出950.5万元，占总支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出的6.2%;项目支出14264.56万元，占总支出的9</w:t>
      </w:r>
      <w:r>
        <w:rPr>
          <w:rFonts w:ascii="FangSong" w:hAnsi="FangSong" w:eastAsia="FangSong" w:cs="FangSong"/>
          <w:sz w:val="30"/>
          <w:szCs w:val="30"/>
          <w:spacing w:val="22"/>
        </w:rPr>
        <w:t>3.8%。差异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产生的主要原因是工程多，项目经费增加。</w:t>
      </w:r>
    </w:p>
    <w:p>
      <w:pPr>
        <w:ind w:left="950"/>
        <w:spacing w:before="12"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8"/>
        </w:rPr>
        <w:t>(二)部门预算执行情况</w:t>
      </w:r>
    </w:p>
    <w:p>
      <w:pPr>
        <w:ind w:left="820"/>
        <w:spacing w:before="225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6"/>
        </w:rPr>
        <w:t>1.“三公”经费执行情况</w:t>
      </w:r>
    </w:p>
    <w:p>
      <w:pPr>
        <w:ind w:left="790"/>
        <w:spacing w:before="21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2024年“三公”经费预算数2万元，其中：因公出国(境)费</w:t>
      </w:r>
    </w:p>
    <w:p>
      <w:pPr>
        <w:ind w:right="692" w:firstLine="150"/>
        <w:spacing w:before="229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0万元，公务用车购置及运行维护费0万元，公务接待费2万元。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“三公”经费决算数0.71元，其中：因</w:t>
      </w:r>
      <w:r>
        <w:rPr>
          <w:rFonts w:ascii="FangSong" w:hAnsi="FangSong" w:eastAsia="FangSong" w:cs="FangSong"/>
          <w:sz w:val="30"/>
          <w:szCs w:val="30"/>
          <w:spacing w:val="25"/>
        </w:rPr>
        <w:t>公出国(境)费0万元，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3"/>
        </w:rPr>
        <w:t>公务用车运行维护费0万元，公务接待费0.71万元。</w:t>
      </w:r>
    </w:p>
    <w:p>
      <w:pPr>
        <w:ind w:left="820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3"/>
        </w:rPr>
        <w:t>2.</w:t>
      </w:r>
      <w:r>
        <w:rPr>
          <w:rFonts w:ascii="FangSong" w:hAnsi="FangSong" w:eastAsia="FangSong" w:cs="FangSong"/>
          <w:sz w:val="30"/>
          <w:szCs w:val="30"/>
          <w:spacing w:val="-3"/>
        </w:rPr>
        <w:t>政府采购执行情况</w:t>
      </w:r>
    </w:p>
    <w:p>
      <w:pPr>
        <w:ind w:left="260" w:right="792" w:firstLine="560"/>
        <w:spacing w:before="232" w:line="33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2024年度政府采购支出217.15万元，其中：货物52.89元，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工程0万元，服务164.26万元。</w:t>
      </w:r>
    </w:p>
    <w:p>
      <w:pPr>
        <w:ind w:left="154"/>
        <w:spacing w:before="1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三、政府性基金预算支出情况</w:t>
      </w:r>
    </w:p>
    <w:p>
      <w:pPr>
        <w:ind w:left="850"/>
        <w:spacing w:before="110" w:line="213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7"/>
        </w:rPr>
        <w:t>本年度政府性基金预算支出6592.77万元，均为</w:t>
      </w:r>
      <w:r>
        <w:rPr>
          <w:rFonts w:ascii="SimHei" w:hAnsi="SimHei" w:eastAsia="SimHei" w:cs="SimHei"/>
          <w:sz w:val="30"/>
          <w:szCs w:val="30"/>
          <w:spacing w:val="6"/>
        </w:rPr>
        <w:t>项目支出。</w:t>
      </w:r>
    </w:p>
    <w:p>
      <w:pPr>
        <w:ind w:left="154"/>
        <w:spacing w:before="213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四、国有资本经营预算支出情况</w:t>
      </w:r>
    </w:p>
    <w:p>
      <w:pPr>
        <w:ind w:left="850"/>
        <w:spacing w:before="14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本年度无国有资本经营预算的支出。</w:t>
      </w:r>
    </w:p>
    <w:p>
      <w:pPr>
        <w:ind w:left="154"/>
        <w:spacing w:before="17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五、社会保险基金预算支出情况</w:t>
      </w:r>
    </w:p>
    <w:p>
      <w:pPr>
        <w:ind w:left="850"/>
        <w:spacing w:before="150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本年度无社会保险基金预算的支出。</w:t>
      </w:r>
    </w:p>
    <w:p>
      <w:pPr>
        <w:ind w:left="154"/>
        <w:spacing w:before="179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六、部门整体支出绩效情况</w:t>
      </w:r>
    </w:p>
    <w:p>
      <w:pPr>
        <w:spacing w:line="221" w:lineRule="auto"/>
        <w:sectPr>
          <w:footerReference w:type="default" r:id="rId5"/>
          <w:pgSz w:w="11900" w:h="16840"/>
          <w:pgMar w:top="1347" w:right="557" w:bottom="750" w:left="1769" w:header="0" w:footer="219" w:gutter="0"/>
        </w:sectPr>
        <w:rPr>
          <w:rFonts w:ascii="SimHei" w:hAnsi="SimHei" w:eastAsia="SimHei" w:cs="SimHei"/>
          <w:sz w:val="30"/>
          <w:szCs w:val="30"/>
        </w:rPr>
      </w:pPr>
    </w:p>
    <w:p>
      <w:pPr>
        <w:ind w:left="195" w:right="922" w:firstLine="149"/>
        <w:spacing w:before="61" w:line="2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6"/>
        </w:rPr>
        <w:t>(一)综合评价结论</w:t>
      </w:r>
      <w:r>
        <w:rPr>
          <w:rFonts w:ascii="FangSong" w:hAnsi="FangSong" w:eastAsia="FangSong" w:cs="FangSong"/>
          <w:sz w:val="30"/>
          <w:szCs w:val="30"/>
          <w:spacing w:val="6"/>
        </w:rPr>
        <w:t>。我局根据《财政部关于2024年部门决算工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作的通知》要求进行部门整体支出绩效自评，经自评，我们认为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得分为97分，部门整体支出绩效为“优”。</w:t>
      </w:r>
    </w:p>
    <w:p>
      <w:pPr>
        <w:ind w:left="195" w:right="953" w:firstLine="769"/>
        <w:spacing w:before="134" w:line="29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(</w:t>
      </w:r>
      <w:r>
        <w:rPr>
          <w:rFonts w:ascii="FangSong" w:hAnsi="FangSong" w:eastAsia="FangSong" w:cs="FangSong"/>
          <w:sz w:val="30"/>
          <w:szCs w:val="30"/>
          <w:spacing w:val="-3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二)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KaiTi" w:hAnsi="KaiTi" w:eastAsia="KaiTi" w:cs="KaiTi"/>
          <w:sz w:val="30"/>
          <w:szCs w:val="30"/>
          <w:spacing w:val="2"/>
        </w:rPr>
        <w:t>评价指标分析(或综合评价情况)。</w:t>
      </w:r>
      <w:r>
        <w:rPr>
          <w:rFonts w:ascii="KaiTi" w:hAnsi="KaiTi" w:eastAsia="KaiTi" w:cs="KaiTi"/>
          <w:sz w:val="30"/>
          <w:szCs w:val="30"/>
          <w:spacing w:val="-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2024年本局</w:t>
      </w:r>
      <w:r>
        <w:rPr>
          <w:rFonts w:ascii="FangSong" w:hAnsi="FangSong" w:eastAsia="FangSong" w:cs="FangSong"/>
          <w:sz w:val="30"/>
          <w:szCs w:val="30"/>
          <w:spacing w:val="1"/>
        </w:rPr>
        <w:t>认真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贯彻落实中央、省委和省政府关于加强财务管理、严格控制“三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公”经费、厉行节约等有关文件精神，在资金使用上，</w:t>
      </w:r>
      <w:r>
        <w:rPr>
          <w:rFonts w:ascii="FangSong" w:hAnsi="FangSong" w:eastAsia="FangSong" w:cs="FangSong"/>
          <w:sz w:val="30"/>
          <w:szCs w:val="30"/>
          <w:spacing w:val="-4"/>
        </w:rPr>
        <w:t>严格遵守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各项财经法规和财务管理制度规定，资金拨付</w:t>
      </w:r>
      <w:r>
        <w:rPr>
          <w:rFonts w:ascii="FangSong" w:hAnsi="FangSong" w:eastAsia="FangSong" w:cs="FangSong"/>
          <w:sz w:val="30"/>
          <w:szCs w:val="30"/>
          <w:spacing w:val="-4"/>
        </w:rPr>
        <w:t>有完整的审批程序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和手续，支出符合部门预算批复的用途，无截留、挤占、挪用、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虚列支出等情况。在县委、县政府的正确领导下，</w:t>
      </w:r>
      <w:r>
        <w:rPr>
          <w:rFonts w:ascii="FangSong" w:hAnsi="FangSong" w:eastAsia="FangSong" w:cs="FangSong"/>
          <w:sz w:val="30"/>
          <w:szCs w:val="30"/>
          <w:spacing w:val="-3"/>
        </w:rPr>
        <w:t>在市住建局的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精心指导下，我局认真贯彻落实全市建设工作和县委经济工作会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议精神，紧紧围绕全县的中心工作，以推进城乡一体化为目标，</w:t>
      </w:r>
    </w:p>
    <w:p>
      <w:pPr>
        <w:ind w:left="195" w:right="1056"/>
        <w:spacing w:before="145" w:line="26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突出抓好规划编制管理、质量安全监管、建筑市场管理、项目建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设等工作，全局上下协调一致，奋力推进，攻坚克难，整体工作</w:t>
      </w:r>
    </w:p>
    <w:p>
      <w:pPr>
        <w:ind w:left="195"/>
        <w:spacing w:before="14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color w:val="403040"/>
          <w:spacing w:val="-8"/>
        </w:rPr>
        <w:t>取得显著成效。</w:t>
      </w:r>
    </w:p>
    <w:p>
      <w:pPr>
        <w:ind w:left="199"/>
        <w:spacing w:before="126" w:line="219" w:lineRule="auto"/>
        <w:outlineLvl w:val="2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七、存在的问题及原因分析</w:t>
      </w:r>
    </w:p>
    <w:p>
      <w:pPr>
        <w:ind w:left="805"/>
        <w:spacing w:before="169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5"/>
        </w:rPr>
        <w:t>无。</w:t>
      </w:r>
    </w:p>
    <w:p>
      <w:pPr>
        <w:ind w:left="199"/>
        <w:spacing w:before="148" w:line="219" w:lineRule="auto"/>
        <w:outlineLvl w:val="2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color w:val="302040"/>
          <w:spacing w:val="-5"/>
        </w:rPr>
        <w:t>八、下一步改进措施</w:t>
      </w:r>
    </w:p>
    <w:p>
      <w:pPr>
        <w:ind w:left="805"/>
        <w:spacing w:before="14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color w:val="504060"/>
          <w:spacing w:val="-15"/>
        </w:rPr>
        <w:t>无。</w:t>
      </w:r>
    </w:p>
    <w:p>
      <w:pPr>
        <w:ind w:left="199"/>
        <w:spacing w:before="155" w:line="219" w:lineRule="auto"/>
        <w:outlineLvl w:val="2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color w:val="301040"/>
          <w:spacing w:val="-8"/>
        </w:rPr>
        <w:t>九、其他需要说明的情况</w:t>
      </w:r>
    </w:p>
    <w:p>
      <w:pPr>
        <w:ind w:left="805"/>
        <w:spacing w:before="101" w:line="222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29"/>
        </w:rPr>
        <w:t>无。</w:t>
      </w:r>
    </w:p>
    <w:sectPr>
      <w:footerReference w:type="default" r:id="rId6"/>
      <w:pgSz w:w="11900" w:h="16840"/>
      <w:pgMar w:top="1272" w:right="557" w:bottom="750" w:left="1785" w:header="0" w:footer="21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position w:val="-16"/>
      </w:rPr>
      <w:drawing>
        <wp:inline distT="0" distB="0" distL="0" distR="0">
          <wp:extent cx="342913" cy="330278"/>
          <wp:effectExtent l="0" t="0" r="0" b="0"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42913" cy="33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30"/>
        <w:szCs w:val="30"/>
        <w:spacing w:val="-55"/>
      </w:rPr>
      <w:t xml:space="preserve"> </w:t>
    </w:r>
    <w:r>
      <w:rPr>
        <w:rFonts w:ascii="SimSun" w:hAnsi="SimSun" w:eastAsia="SimSun" w:cs="SimSun"/>
        <w:sz w:val="30"/>
        <w:szCs w:val="30"/>
        <w:spacing w:val="-24"/>
      </w:rPr>
      <w:t>扫描全</w:t>
    </w:r>
    <w:r>
      <w:rPr>
        <w:rFonts w:ascii="SimSun" w:hAnsi="SimSun" w:eastAsia="SimSun" w:cs="SimSun"/>
        <w:sz w:val="30"/>
        <w:szCs w:val="30"/>
        <w:spacing w:val="-23"/>
      </w:rPr>
      <w:t>能王创</w:t>
    </w:r>
    <w:r>
      <w:rPr>
        <w:rFonts w:ascii="SimSun" w:hAnsi="SimSun" w:eastAsia="SimSun" w:cs="SimSun"/>
        <w:sz w:val="30"/>
        <w:szCs w:val="30"/>
        <w:spacing w:val="-13"/>
      </w:rPr>
      <w:t>建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position w:val="-17"/>
      </w:rPr>
      <w:drawing>
        <wp:inline distT="0" distB="0" distL="0" distR="0">
          <wp:extent cx="342913" cy="330278"/>
          <wp:effectExtent l="0" t="0" r="0" b="0"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42913" cy="33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30"/>
        <w:szCs w:val="30"/>
        <w:spacing w:val="-48"/>
      </w:rPr>
      <w:t xml:space="preserve"> </w:t>
    </w:r>
    <w:r>
      <w:rPr>
        <w:rFonts w:ascii="SimSun" w:hAnsi="SimSun" w:eastAsia="SimSun" w:cs="SimSun"/>
        <w:sz w:val="30"/>
        <w:szCs w:val="30"/>
        <w:spacing w:val="-25"/>
      </w:rPr>
      <w:t>扫描全能</w:t>
    </w:r>
    <w:r>
      <w:rPr>
        <w:rFonts w:ascii="SimSun" w:hAnsi="SimSun" w:eastAsia="SimSun" w:cs="SimSun"/>
        <w:sz w:val="30"/>
        <w:szCs w:val="30"/>
        <w:spacing w:val="-24"/>
      </w:rPr>
      <w:t>王创</w:t>
    </w:r>
    <w:r>
      <w:rPr>
        <w:rFonts w:ascii="SimSun" w:hAnsi="SimSun" w:eastAsia="SimSun" w:cs="SimSun"/>
        <w:sz w:val="30"/>
        <w:szCs w:val="30"/>
        <w:spacing w:val="-13"/>
      </w:rPr>
      <w:t>建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position w:val="-17"/>
      </w:rPr>
      <w:drawing>
        <wp:inline distT="0" distB="0" distL="0" distR="0">
          <wp:extent cx="342913" cy="330278"/>
          <wp:effectExtent l="0" t="0" r="0" b="0"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42913" cy="33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30"/>
        <w:szCs w:val="30"/>
        <w:spacing w:val="-48"/>
      </w:rPr>
      <w:t xml:space="preserve"> </w:t>
    </w:r>
    <w:r>
      <w:rPr>
        <w:rFonts w:ascii="SimSun" w:hAnsi="SimSun" w:eastAsia="SimSun" w:cs="SimSun"/>
        <w:sz w:val="30"/>
        <w:szCs w:val="30"/>
        <w:spacing w:val="-25"/>
      </w:rPr>
      <w:t>扫描全能</w:t>
    </w:r>
    <w:r>
      <w:rPr>
        <w:rFonts w:ascii="SimSun" w:hAnsi="SimSun" w:eastAsia="SimSun" w:cs="SimSun"/>
        <w:sz w:val="30"/>
        <w:szCs w:val="30"/>
        <w:spacing w:val="-24"/>
      </w:rPr>
      <w:t>王创</w:t>
    </w:r>
    <w:r>
      <w:rPr>
        <w:rFonts w:ascii="SimSun" w:hAnsi="SimSun" w:eastAsia="SimSun" w:cs="SimSun"/>
        <w:sz w:val="30"/>
        <w:szCs w:val="30"/>
        <w:spacing w:val="-13"/>
      </w:rPr>
      <w:t>建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2025-10-23T15:04:27Z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2025-10-23T15:04:28</vt:filetime>
  </property>
  <property fmtid="{D5CDD505-2E9C-101B-9397-08002B2CF9AE}" pid="4" name="UsrData">
    <vt:lpwstr>68f9d378a242d5001f400b47wl</vt:lpwstr>
  </property>
</Properties>
</file>