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76CFB">
      <w:pPr>
        <w:spacing w:line="600" w:lineRule="exact"/>
        <w:rPr>
          <w:rFonts w:hint="default" w:ascii="Times New Roman" w:hAnsi="Times New Roman" w:eastAsia="黑体" w:cs="Times New Roman"/>
          <w:sz w:val="32"/>
          <w:szCs w:val="32"/>
          <w:lang w:val="en-US" w:eastAsia="zh-CN"/>
        </w:rPr>
      </w:pPr>
    </w:p>
    <w:p w14:paraId="4D772155">
      <w:pPr>
        <w:spacing w:line="600" w:lineRule="exact"/>
        <w:rPr>
          <w:rFonts w:ascii="Times New Roman" w:hAnsi="Times New Roman" w:eastAsia="黑体" w:cs="Times New Roman"/>
          <w:sz w:val="32"/>
          <w:szCs w:val="32"/>
        </w:rPr>
      </w:pPr>
    </w:p>
    <w:p w14:paraId="2B1952CF">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4</w:t>
      </w:r>
      <w:r>
        <w:rPr>
          <w:rFonts w:ascii="Times New Roman" w:hAnsi="Times New Roman" w:eastAsia="方正小标宋_GBK" w:cs="Times New Roman"/>
          <w:sz w:val="52"/>
          <w:szCs w:val="52"/>
        </w:rPr>
        <w:t>年度</w:t>
      </w:r>
      <w:r>
        <w:rPr>
          <w:rFonts w:hint="eastAsia" w:eastAsia="方正小标宋_GBK" w:cs="Times New Roman"/>
          <w:sz w:val="52"/>
          <w:szCs w:val="52"/>
          <w:lang w:val="en-US" w:eastAsia="zh-CN"/>
        </w:rPr>
        <w:t>城步县社保中心</w:t>
      </w:r>
      <w:r>
        <w:rPr>
          <w:rFonts w:ascii="Times New Roman" w:hAnsi="Times New Roman" w:eastAsia="方正小标宋_GBK" w:cs="Times New Roman"/>
          <w:sz w:val="52"/>
          <w:szCs w:val="52"/>
        </w:rPr>
        <w:t>整体支出</w:t>
      </w:r>
    </w:p>
    <w:p w14:paraId="523D7D7A">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14:paraId="1A4CE2D6">
      <w:pPr>
        <w:jc w:val="center"/>
        <w:rPr>
          <w:rFonts w:ascii="Times New Roman" w:hAnsi="Times New Roman" w:eastAsia="方正小标宋_GBK" w:cs="Times New Roman"/>
          <w:b/>
          <w:sz w:val="52"/>
          <w:szCs w:val="52"/>
        </w:rPr>
      </w:pPr>
    </w:p>
    <w:p w14:paraId="4DDD8220">
      <w:pPr>
        <w:jc w:val="center"/>
        <w:rPr>
          <w:rFonts w:ascii="Times New Roman" w:hAnsi="Times New Roman" w:eastAsia="黑体" w:cs="Times New Roman"/>
          <w:sz w:val="32"/>
          <w:szCs w:val="32"/>
        </w:rPr>
      </w:pPr>
    </w:p>
    <w:p w14:paraId="306565A5">
      <w:pPr>
        <w:jc w:val="center"/>
        <w:rPr>
          <w:rFonts w:ascii="Times New Roman" w:hAnsi="Times New Roman" w:eastAsia="黑体" w:cs="Times New Roman"/>
          <w:sz w:val="32"/>
          <w:szCs w:val="32"/>
        </w:rPr>
      </w:pPr>
    </w:p>
    <w:p w14:paraId="2927ADC0">
      <w:pPr>
        <w:jc w:val="center"/>
        <w:rPr>
          <w:rFonts w:ascii="Times New Roman" w:hAnsi="Times New Roman" w:eastAsia="黑体" w:cs="Times New Roman"/>
          <w:sz w:val="32"/>
          <w:szCs w:val="32"/>
        </w:rPr>
      </w:pPr>
    </w:p>
    <w:p w14:paraId="475CAACD">
      <w:pPr>
        <w:jc w:val="center"/>
        <w:rPr>
          <w:rFonts w:ascii="Times New Roman" w:hAnsi="Times New Roman" w:eastAsia="黑体" w:cs="Times New Roman"/>
          <w:sz w:val="32"/>
          <w:szCs w:val="32"/>
        </w:rPr>
      </w:pPr>
    </w:p>
    <w:p w14:paraId="474EB048">
      <w:pPr>
        <w:jc w:val="center"/>
        <w:rPr>
          <w:rFonts w:ascii="Times New Roman" w:hAnsi="Times New Roman" w:eastAsia="黑体" w:cs="Times New Roman"/>
          <w:sz w:val="32"/>
          <w:szCs w:val="32"/>
        </w:rPr>
      </w:pPr>
    </w:p>
    <w:p w14:paraId="27A2B878">
      <w:pPr>
        <w:jc w:val="center"/>
        <w:rPr>
          <w:rFonts w:ascii="Times New Roman" w:hAnsi="Times New Roman" w:eastAsia="黑体" w:cs="Times New Roman"/>
          <w:sz w:val="32"/>
          <w:szCs w:val="32"/>
        </w:rPr>
      </w:pPr>
    </w:p>
    <w:p w14:paraId="2BBB6A16">
      <w:pPr>
        <w:spacing w:line="600" w:lineRule="exact"/>
        <w:jc w:val="both"/>
        <w:rPr>
          <w:rFonts w:hint="eastAsia" w:ascii="仿宋" w:hAnsi="仿宋" w:eastAsia="仿宋" w:cs="仿宋"/>
          <w:sz w:val="40"/>
          <w:szCs w:val="40"/>
        </w:rPr>
      </w:pPr>
    </w:p>
    <w:p w14:paraId="72022DED">
      <w:pPr>
        <w:spacing w:line="600" w:lineRule="exact"/>
        <w:jc w:val="both"/>
        <w:rPr>
          <w:rFonts w:hint="eastAsia" w:ascii="仿宋" w:hAnsi="仿宋" w:eastAsia="仿宋" w:cs="仿宋"/>
          <w:sz w:val="40"/>
          <w:szCs w:val="40"/>
          <w:u w:val="single"/>
          <w:lang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eastAsia="zh-CN"/>
        </w:rPr>
        <w:t>城步苗族自治县社会养老保险服务中心</w:t>
      </w:r>
    </w:p>
    <w:p w14:paraId="65EB1481">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2025</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5</w:t>
      </w:r>
      <w:r>
        <w:rPr>
          <w:rFonts w:hint="eastAsia" w:ascii="仿宋" w:hAnsi="仿宋" w:eastAsia="仿宋" w:cs="仿宋"/>
          <w:sz w:val="40"/>
          <w:szCs w:val="40"/>
        </w:rPr>
        <w:t>月</w:t>
      </w:r>
      <w:r>
        <w:rPr>
          <w:rFonts w:hint="eastAsia" w:ascii="仿宋" w:hAnsi="仿宋" w:eastAsia="仿宋" w:cs="仿宋"/>
          <w:sz w:val="40"/>
          <w:szCs w:val="40"/>
          <w:lang w:val="en-US" w:eastAsia="zh-CN"/>
        </w:rPr>
        <w:t>31</w:t>
      </w:r>
      <w:r>
        <w:rPr>
          <w:rFonts w:hint="eastAsia" w:ascii="仿宋" w:hAnsi="仿宋" w:eastAsia="仿宋" w:cs="仿宋"/>
          <w:sz w:val="40"/>
          <w:szCs w:val="40"/>
        </w:rPr>
        <w:t>日</w:t>
      </w:r>
    </w:p>
    <w:p w14:paraId="73CD813D">
      <w:pPr>
        <w:jc w:val="center"/>
        <w:rPr>
          <w:rFonts w:hint="eastAsia" w:ascii="仿宋" w:hAnsi="仿宋" w:eastAsia="仿宋" w:cs="仿宋"/>
          <w:sz w:val="32"/>
          <w:szCs w:val="32"/>
        </w:rPr>
      </w:pPr>
    </w:p>
    <w:p w14:paraId="3EE7F5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lang w:eastAsia="zh-CN"/>
        </w:rPr>
      </w:pPr>
      <w:r>
        <w:rPr>
          <w:rFonts w:hint="eastAsia" w:ascii="仿宋" w:hAnsi="仿宋" w:eastAsia="仿宋" w:cs="仿宋"/>
          <w:sz w:val="32"/>
          <w:szCs w:val="32"/>
        </w:rPr>
        <w:br w:type="page"/>
      </w: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4</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城步苗族自治县社会养老保险服务</w:t>
      </w:r>
    </w:p>
    <w:p w14:paraId="0906BE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r>
        <w:rPr>
          <w:rFonts w:hint="eastAsia" w:ascii="方正小标宋_GBK" w:hAnsi="方正小标宋_GBK" w:eastAsia="方正小标宋_GBK" w:cs="方正小标宋_GBK"/>
          <w:i w:val="0"/>
          <w:iCs w:val="0"/>
          <w:caps w:val="0"/>
          <w:color w:val="000000"/>
          <w:spacing w:val="0"/>
          <w:sz w:val="44"/>
          <w:szCs w:val="44"/>
          <w:shd w:val="clear" w:fill="FFFFFF"/>
          <w:lang w:eastAsia="zh-CN"/>
        </w:rPr>
        <w:t>中心</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w:t>
      </w:r>
    </w:p>
    <w:p w14:paraId="23B6B5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绩效自评报告</w:t>
      </w:r>
    </w:p>
    <w:p w14:paraId="4C221A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03EC5A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04802E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14:paraId="76BC62C7">
      <w:pPr>
        <w:keepNext w:val="0"/>
        <w:keepLines w:val="0"/>
        <w:pageBreakBefore w:val="0"/>
        <w:kinsoku/>
        <w:wordWrap/>
        <w:overflowPunct/>
        <w:topLinePunct w:val="0"/>
        <w:autoSpaceDE/>
        <w:autoSpaceDN/>
        <w:bidi w:val="0"/>
        <w:snapToGrid w:val="0"/>
        <w:spacing w:beforeAutospacing="0" w:line="500" w:lineRule="exact"/>
        <w:ind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sz w:val="32"/>
          <w:szCs w:val="32"/>
        </w:rPr>
        <w:t xml:space="preserve">城步县社会养老保险服务中心核定事业编制 </w:t>
      </w:r>
      <w:r>
        <w:rPr>
          <w:rFonts w:hint="eastAsia" w:ascii="仿宋" w:hAnsi="仿宋" w:eastAsia="仿宋" w:cs="仿宋"/>
          <w:sz w:val="32"/>
          <w:szCs w:val="32"/>
          <w:lang w:val="en-US" w:eastAsia="zh-CN"/>
        </w:rPr>
        <w:t>25</w:t>
      </w:r>
      <w:r>
        <w:rPr>
          <w:rFonts w:hint="eastAsia" w:ascii="仿宋" w:hAnsi="仿宋" w:eastAsia="仿宋" w:cs="仿宋"/>
          <w:sz w:val="32"/>
          <w:szCs w:val="32"/>
        </w:rPr>
        <w:t xml:space="preserve"> 名，设主任1 名，副主任 3 名。内设机构：1、综合股；2、财务股；3、基金结算股；4、参保登记股；5、企业职工个人账户股；6、机关事业单位职工个人账户股；7、企业单位退休人员服务股；8、机关事业单位退休人员服务股；9、待遇支付股；10、职业年金股；11、风险内控股；12、稽核股；13、城乡居民养老保险服务股；14、被征地农民养老保险服务股；15、窗口服务肥；16、统计信息股。</w:t>
      </w:r>
    </w:p>
    <w:p w14:paraId="0BCA9E22">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14:paraId="652740A3">
      <w:pPr>
        <w:keepNext w:val="0"/>
        <w:keepLines w:val="0"/>
        <w:pageBreakBefore w:val="0"/>
        <w:kinsoku/>
        <w:wordWrap/>
        <w:overflowPunct/>
        <w:topLinePunct w:val="0"/>
        <w:autoSpaceDE/>
        <w:autoSpaceDN/>
        <w:bidi w:val="0"/>
        <w:snapToGrid w:val="0"/>
        <w:spacing w:beforeAutospacing="0" w:line="500" w:lineRule="exact"/>
        <w:ind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sz w:val="32"/>
          <w:szCs w:val="32"/>
        </w:rPr>
        <w:t>社会养老保险</w:t>
      </w:r>
      <w:r>
        <w:rPr>
          <w:rFonts w:hint="eastAsia" w:ascii="仿宋" w:hAnsi="仿宋" w:eastAsia="仿宋" w:cs="仿宋"/>
          <w:sz w:val="32"/>
          <w:szCs w:val="32"/>
          <w:lang w:eastAsia="zh-CN"/>
        </w:rPr>
        <w:t>服务中心</w:t>
      </w:r>
      <w:r>
        <w:rPr>
          <w:rFonts w:hint="eastAsia" w:ascii="仿宋" w:hAnsi="仿宋" w:eastAsia="仿宋" w:cs="仿宋"/>
          <w:sz w:val="32"/>
          <w:szCs w:val="32"/>
        </w:rPr>
        <w:t>编制人数</w:t>
      </w:r>
      <w:r>
        <w:rPr>
          <w:rFonts w:hint="eastAsia" w:ascii="仿宋" w:hAnsi="仿宋" w:eastAsia="仿宋" w:cs="仿宋"/>
          <w:sz w:val="32"/>
          <w:szCs w:val="32"/>
          <w:lang w:val="en-US" w:eastAsia="zh-CN"/>
        </w:rPr>
        <w:t>25</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rPr>
        <w:t>实有编制人数</w:t>
      </w:r>
      <w:r>
        <w:rPr>
          <w:rFonts w:hint="eastAsia" w:ascii="仿宋" w:hAnsi="仿宋" w:eastAsia="仿宋" w:cs="仿宋"/>
          <w:sz w:val="32"/>
          <w:szCs w:val="32"/>
          <w:lang w:val="en-US" w:eastAsia="zh-CN"/>
        </w:rPr>
        <w:t>22</w:t>
      </w:r>
      <w:r>
        <w:rPr>
          <w:rFonts w:hint="eastAsia" w:ascii="仿宋" w:hAnsi="仿宋" w:eastAsia="仿宋" w:cs="仿宋"/>
          <w:sz w:val="32"/>
          <w:szCs w:val="32"/>
        </w:rPr>
        <w:t>人，</w:t>
      </w:r>
      <w:r>
        <w:rPr>
          <w:rFonts w:hint="eastAsia" w:ascii="仿宋" w:hAnsi="仿宋" w:eastAsia="仿宋" w:cs="仿宋"/>
          <w:sz w:val="32"/>
          <w:szCs w:val="32"/>
          <w:lang w:eastAsia="zh-CN"/>
        </w:rPr>
        <w:t>临聘人员</w:t>
      </w:r>
      <w:r>
        <w:rPr>
          <w:rFonts w:hint="eastAsia" w:ascii="仿宋" w:hAnsi="仿宋" w:eastAsia="仿宋" w:cs="仿宋"/>
          <w:sz w:val="32"/>
          <w:szCs w:val="32"/>
          <w:lang w:val="en-US" w:eastAsia="zh-CN"/>
        </w:rPr>
        <w:t>6</w:t>
      </w:r>
      <w:r>
        <w:rPr>
          <w:rFonts w:hint="eastAsia" w:ascii="仿宋" w:hAnsi="仿宋" w:eastAsia="仿宋" w:cs="仿宋"/>
          <w:sz w:val="32"/>
          <w:szCs w:val="32"/>
        </w:rPr>
        <w:t>人。</w:t>
      </w:r>
    </w:p>
    <w:p w14:paraId="34499C88">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14:paraId="5D4ED0E5">
      <w:pPr>
        <w:keepNext w:val="0"/>
        <w:keepLines w:val="0"/>
        <w:pageBreakBefore w:val="0"/>
        <w:kinsoku/>
        <w:wordWrap/>
        <w:overflowPunct/>
        <w:topLinePunct w:val="0"/>
        <w:autoSpaceDE/>
        <w:autoSpaceDN/>
        <w:bidi w:val="0"/>
        <w:snapToGrid w:val="0"/>
        <w:spacing w:beforeAutospacing="0"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(一)参与拟定全县社会养老保险经办管理办法、规划计划并组织实施；研究提出完善政策法规的意见。</w:t>
      </w:r>
    </w:p>
    <w:p w14:paraId="074F2D4B">
      <w:pPr>
        <w:keepNext w:val="0"/>
        <w:keepLines w:val="0"/>
        <w:pageBreakBefore w:val="0"/>
        <w:kinsoku/>
        <w:wordWrap/>
        <w:overflowPunct/>
        <w:topLinePunct w:val="0"/>
        <w:autoSpaceDE/>
        <w:autoSpaceDN/>
        <w:bidi w:val="0"/>
        <w:snapToGrid w:val="0"/>
        <w:spacing w:beforeAutospacing="0"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(二)承担县本级基本养老保险、规定范围内被征地农民养老保险的经办管理和服务工作；负责县本级统筹外待遇的经办和给付工作；承担县本级基本养老保险基金和经办业务的稽核工作。</w:t>
      </w:r>
    </w:p>
    <w:p w14:paraId="1180CD92">
      <w:pPr>
        <w:keepNext w:val="0"/>
        <w:keepLines w:val="0"/>
        <w:pageBreakBefore w:val="0"/>
        <w:kinsoku/>
        <w:wordWrap/>
        <w:overflowPunct/>
        <w:topLinePunct w:val="0"/>
        <w:autoSpaceDE/>
        <w:autoSpaceDN/>
        <w:bidi w:val="0"/>
        <w:snapToGrid w:val="0"/>
        <w:spacing w:beforeAutospacing="0"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(三)负责拟定全县基本养老保险基金的收支计划，按照上级有关要求编制基金预决算，管理县本级基本养老保险基金和统筹外代发资金。</w:t>
      </w:r>
    </w:p>
    <w:p w14:paraId="51080551">
      <w:pPr>
        <w:keepNext w:val="0"/>
        <w:keepLines w:val="0"/>
        <w:pageBreakBefore w:val="0"/>
        <w:kinsoku/>
        <w:wordWrap/>
        <w:overflowPunct/>
        <w:topLinePunct w:val="0"/>
        <w:autoSpaceDE/>
        <w:autoSpaceDN/>
        <w:bidi w:val="0"/>
        <w:snapToGrid w:val="0"/>
        <w:spacing w:beforeAutospacing="0"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(四)承担机关事业单位职业年金基数申报、基金归集经办管理工作。</w:t>
      </w:r>
    </w:p>
    <w:p w14:paraId="6D35D6C8">
      <w:pPr>
        <w:keepNext w:val="0"/>
        <w:keepLines w:val="0"/>
        <w:pageBreakBefore w:val="0"/>
        <w:kinsoku/>
        <w:wordWrap/>
        <w:overflowPunct/>
        <w:topLinePunct w:val="0"/>
        <w:autoSpaceDE/>
        <w:autoSpaceDN/>
        <w:bidi w:val="0"/>
        <w:snapToGrid w:val="0"/>
        <w:spacing w:beforeAutospacing="0"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(五)承担县本级基本养老保险个人及用人单位的参保登记、缴费基数核定；负责县本级基本养老保险参保对象的个人账户管理和权益记录。</w:t>
      </w:r>
    </w:p>
    <w:p w14:paraId="5F5495B3">
      <w:pPr>
        <w:keepNext w:val="0"/>
        <w:keepLines w:val="0"/>
        <w:pageBreakBefore w:val="0"/>
        <w:kinsoku/>
        <w:wordWrap/>
        <w:overflowPunct/>
        <w:topLinePunct w:val="0"/>
        <w:autoSpaceDE/>
        <w:autoSpaceDN/>
        <w:bidi w:val="0"/>
        <w:snapToGrid w:val="0"/>
        <w:spacing w:beforeAutospacing="0"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(六)承担县本级参保对象待遇标准的确定和给付；承担县本级离退休人员的社会化管理服务工作。</w:t>
      </w:r>
    </w:p>
    <w:p w14:paraId="50BFFFDA">
      <w:pPr>
        <w:keepNext w:val="0"/>
        <w:keepLines w:val="0"/>
        <w:pageBreakBefore w:val="0"/>
        <w:kinsoku/>
        <w:wordWrap/>
        <w:overflowPunct/>
        <w:topLinePunct w:val="0"/>
        <w:autoSpaceDE/>
        <w:autoSpaceDN/>
        <w:bidi w:val="0"/>
        <w:snapToGrid w:val="0"/>
        <w:spacing w:beforeAutospacing="0"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(七)承担全县基本养老保险业务统计相关事务和养老保险信息系统运行维护工作。</w:t>
      </w:r>
    </w:p>
    <w:p w14:paraId="2639E1B6">
      <w:pPr>
        <w:keepNext w:val="0"/>
        <w:keepLines w:val="0"/>
        <w:pageBreakBefore w:val="0"/>
        <w:kinsoku/>
        <w:wordWrap/>
        <w:overflowPunct/>
        <w:topLinePunct w:val="0"/>
        <w:autoSpaceDE/>
        <w:autoSpaceDN/>
        <w:bidi w:val="0"/>
        <w:snapToGrid w:val="0"/>
        <w:spacing w:beforeAutospacing="0"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(八)承担县本级基本养老保险业务档案管理和全县公共信息查询服务。</w:t>
      </w:r>
    </w:p>
    <w:p w14:paraId="2546F533">
      <w:pPr>
        <w:keepNext w:val="0"/>
        <w:keepLines w:val="0"/>
        <w:pageBreakBefore w:val="0"/>
        <w:kinsoku/>
        <w:wordWrap/>
        <w:overflowPunct/>
        <w:topLinePunct w:val="0"/>
        <w:autoSpaceDE/>
        <w:autoSpaceDN/>
        <w:bidi w:val="0"/>
        <w:snapToGrid w:val="0"/>
        <w:spacing w:beforeAutospacing="0"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(九)参与全县企业改制、企业破产清算工作，协同有关部门做好改制和破产企业职工的养老保险工作；</w:t>
      </w:r>
    </w:p>
    <w:p w14:paraId="58031123">
      <w:pPr>
        <w:keepNext w:val="0"/>
        <w:keepLines w:val="0"/>
        <w:pageBreakBefore w:val="0"/>
        <w:kinsoku/>
        <w:wordWrap/>
        <w:overflowPunct/>
        <w:topLinePunct w:val="0"/>
        <w:autoSpaceDE/>
        <w:autoSpaceDN/>
        <w:bidi w:val="0"/>
        <w:snapToGrid w:val="0"/>
        <w:spacing w:beforeAutospacing="0"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(十)负责受理有关全县社会养老保险咨询、信息查询、信息公开、在线受理和投诉举报等工作。</w:t>
      </w:r>
    </w:p>
    <w:p w14:paraId="19FFCE44">
      <w:pPr>
        <w:rPr>
          <w:rFonts w:hint="eastAsia" w:ascii="仿宋" w:hAnsi="仿宋" w:eastAsia="仿宋" w:cs="仿宋"/>
          <w:sz w:val="32"/>
          <w:szCs w:val="32"/>
        </w:rPr>
      </w:pPr>
      <w:r>
        <w:rPr>
          <w:rFonts w:hint="eastAsia" w:ascii="仿宋" w:hAnsi="仿宋" w:eastAsia="仿宋" w:cs="仿宋"/>
          <w:sz w:val="32"/>
          <w:szCs w:val="32"/>
        </w:rPr>
        <w:t>(十一)承担县人力资源和社会保障局交办的其他工作。</w:t>
      </w:r>
    </w:p>
    <w:p w14:paraId="5E596A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（四）绩效目标设定情况</w:t>
      </w:r>
    </w:p>
    <w:p w14:paraId="5A07655B">
      <w:pPr>
        <w:keepNext w:val="0"/>
        <w:keepLines w:val="0"/>
        <w:pageBreakBefore w:val="0"/>
        <w:kinsoku/>
        <w:wordWrap/>
        <w:overflowPunct/>
        <w:topLinePunct w:val="0"/>
        <w:autoSpaceDE/>
        <w:autoSpaceDN/>
        <w:bidi w:val="0"/>
        <w:snapToGrid w:val="0"/>
        <w:spacing w:beforeAutospacing="0"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扩大全县</w:t>
      </w:r>
      <w:r>
        <w:rPr>
          <w:rFonts w:hint="eastAsia" w:ascii="仿宋" w:hAnsi="仿宋" w:eastAsia="仿宋"/>
          <w:sz w:val="32"/>
          <w:szCs w:val="32"/>
        </w:rPr>
        <w:t>参保人数</w:t>
      </w:r>
      <w:r>
        <w:rPr>
          <w:rFonts w:hint="eastAsia" w:ascii="仿宋" w:hAnsi="仿宋" w:eastAsia="仿宋"/>
          <w:sz w:val="32"/>
          <w:szCs w:val="32"/>
          <w:lang w:eastAsia="zh-CN"/>
        </w:rPr>
        <w:t>，力达</w:t>
      </w:r>
      <w:r>
        <w:rPr>
          <w:rFonts w:hint="eastAsia" w:ascii="仿宋" w:hAnsi="仿宋" w:eastAsia="仿宋"/>
          <w:sz w:val="32"/>
          <w:szCs w:val="32"/>
        </w:rPr>
        <w:t>省定目标任务</w:t>
      </w:r>
      <w:r>
        <w:rPr>
          <w:rFonts w:hint="eastAsia" w:ascii="仿宋" w:hAnsi="仿宋" w:eastAsia="仿宋" w:cs="仿宋"/>
          <w:sz w:val="32"/>
          <w:szCs w:val="32"/>
        </w:rPr>
        <w:t>。</w:t>
      </w:r>
    </w:p>
    <w:p w14:paraId="2C75C8D0">
      <w:pPr>
        <w:pStyle w:val="6"/>
        <w:rPr>
          <w:rFonts w:hint="eastAsia" w:ascii="仿宋" w:hAnsi="仿宋" w:eastAsia="仿宋"/>
          <w:sz w:val="32"/>
          <w:szCs w:val="32"/>
          <w:lang w:eastAsia="zh-CN"/>
        </w:rPr>
      </w:pPr>
      <w:r>
        <w:rPr>
          <w:rFonts w:hint="eastAsia" w:ascii="仿宋" w:hAnsi="仿宋" w:eastAsia="仿宋" w:cs="仿宋"/>
          <w:sz w:val="32"/>
          <w:szCs w:val="32"/>
        </w:rPr>
        <w:t>(二)</w:t>
      </w:r>
      <w:r>
        <w:rPr>
          <w:rFonts w:hint="eastAsia" w:ascii="仿宋" w:hAnsi="仿宋" w:eastAsia="仿宋" w:cs="仿宋"/>
          <w:sz w:val="32"/>
          <w:szCs w:val="32"/>
          <w:lang w:eastAsia="zh-CN"/>
        </w:rPr>
        <w:t>完善</w:t>
      </w:r>
      <w:r>
        <w:rPr>
          <w:rFonts w:hint="eastAsia" w:ascii="仿宋" w:hAnsi="仿宋" w:eastAsia="仿宋" w:cs="仿宋"/>
          <w:sz w:val="32"/>
          <w:szCs w:val="32"/>
        </w:rPr>
        <w:t>基本养老保险待遇发放</w:t>
      </w:r>
      <w:r>
        <w:rPr>
          <w:rFonts w:hint="eastAsia" w:ascii="仿宋" w:hAnsi="仿宋" w:eastAsia="仿宋" w:cs="仿宋"/>
          <w:sz w:val="32"/>
          <w:szCs w:val="32"/>
          <w:lang w:eastAsia="zh-CN"/>
        </w:rPr>
        <w:t>程序，确保</w:t>
      </w:r>
      <w:r>
        <w:rPr>
          <w:rFonts w:hint="eastAsia" w:ascii="仿宋" w:hAnsi="仿宋" w:eastAsia="仿宋"/>
          <w:sz w:val="32"/>
          <w:szCs w:val="32"/>
        </w:rPr>
        <w:t>三个险种均能按时发放养老待遇</w:t>
      </w:r>
      <w:r>
        <w:rPr>
          <w:rFonts w:hint="eastAsia" w:ascii="仿宋" w:hAnsi="仿宋" w:eastAsia="仿宋"/>
          <w:sz w:val="32"/>
          <w:szCs w:val="32"/>
          <w:lang w:eastAsia="zh-CN"/>
        </w:rPr>
        <w:t>。</w:t>
      </w:r>
    </w:p>
    <w:p w14:paraId="33831FF5">
      <w:pPr>
        <w:pStyle w:val="6"/>
        <w:rPr>
          <w:rFonts w:hint="eastAsia" w:ascii="仿宋" w:hAnsi="仿宋" w:eastAsia="仿宋"/>
          <w:sz w:val="32"/>
          <w:szCs w:val="32"/>
          <w:lang w:val="en-US" w:eastAsia="zh-CN"/>
        </w:rPr>
      </w:pPr>
      <w:r>
        <w:rPr>
          <w:rFonts w:hint="eastAsia" w:ascii="仿宋" w:hAnsi="仿宋" w:eastAsia="仿宋" w:cs="仿宋"/>
          <w:sz w:val="32"/>
          <w:szCs w:val="32"/>
        </w:rPr>
        <w:t>(三)</w:t>
      </w:r>
      <w:r>
        <w:rPr>
          <w:rFonts w:hint="eastAsia" w:ascii="仿宋" w:hAnsi="仿宋" w:eastAsia="仿宋" w:cs="仿宋"/>
          <w:sz w:val="32"/>
          <w:szCs w:val="32"/>
          <w:lang w:eastAsia="zh-CN"/>
        </w:rPr>
        <w:t>开展养老保险业务培训，</w:t>
      </w:r>
      <w:r>
        <w:rPr>
          <w:rFonts w:hint="eastAsia" w:ascii="仿宋" w:hAnsi="仿宋" w:eastAsia="仿宋"/>
          <w:sz w:val="32"/>
          <w:szCs w:val="32"/>
          <w:lang w:val="en-US" w:eastAsia="zh-CN"/>
        </w:rPr>
        <w:t>全力组织做好</w:t>
      </w:r>
      <w:r>
        <w:rPr>
          <w:rFonts w:hint="eastAsia" w:ascii="仿宋" w:hAnsi="仿宋" w:eastAsia="仿宋"/>
          <w:sz w:val="32"/>
          <w:szCs w:val="32"/>
          <w:lang w:eastAsia="zh-CN"/>
        </w:rPr>
        <w:t>开机五道题答题</w:t>
      </w:r>
      <w:r>
        <w:rPr>
          <w:rFonts w:hint="eastAsia" w:ascii="仿宋" w:hAnsi="仿宋" w:eastAsia="仿宋"/>
          <w:sz w:val="32"/>
          <w:szCs w:val="32"/>
          <w:lang w:val="en-US" w:eastAsia="zh-CN"/>
        </w:rPr>
        <w:t>工作。</w:t>
      </w:r>
    </w:p>
    <w:p w14:paraId="37087EA5">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17F275D7">
      <w:pPr>
        <w:pStyle w:val="7"/>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14:paraId="0CD32400">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14:paraId="0D467F0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eastAsia" w:cs="Times New Roman"/>
          <w:color w:val="auto"/>
          <w:kern w:val="0"/>
          <w:sz w:val="32"/>
          <w:szCs w:val="32"/>
          <w:lang w:val="en-US" w:eastAsia="zh-CN"/>
        </w:rPr>
        <w:t>社保中心2024</w:t>
      </w:r>
      <w:r>
        <w:rPr>
          <w:rFonts w:hint="eastAsia" w:ascii="Times New Roman" w:hAnsi="Times New Roman" w:eastAsia="仿宋_GB2312" w:cs="Times New Roman"/>
          <w:color w:val="auto"/>
          <w:kern w:val="0"/>
          <w:sz w:val="32"/>
          <w:szCs w:val="32"/>
          <w:lang w:val="en-US" w:eastAsia="zh-CN"/>
        </w:rPr>
        <w:t>年度一般公共预算财政拨款年初结转和结余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万元，本年收入</w:t>
      </w:r>
      <w:r>
        <w:rPr>
          <w:rFonts w:hint="eastAsia" w:ascii="宋体" w:hAnsi="宋体" w:eastAsia="宋体" w:cs="宋体"/>
          <w:b w:val="0"/>
          <w:bCs/>
          <w:sz w:val="28"/>
          <w:szCs w:val="28"/>
          <w:lang w:val="en-US" w:eastAsia="zh-CN"/>
        </w:rPr>
        <w:t>357.65</w:t>
      </w:r>
      <w:r>
        <w:rPr>
          <w:rFonts w:hint="eastAsia" w:ascii="Times New Roman" w:hAnsi="Times New Roman" w:eastAsia="仿宋_GB2312" w:cs="Times New Roman"/>
          <w:color w:val="auto"/>
          <w:kern w:val="0"/>
          <w:sz w:val="32"/>
          <w:szCs w:val="32"/>
          <w:lang w:val="en-US" w:eastAsia="zh-CN"/>
        </w:rPr>
        <w:t>万元，本年支出</w:t>
      </w:r>
      <w:r>
        <w:rPr>
          <w:rFonts w:hint="eastAsia" w:ascii="宋体" w:hAnsi="宋体" w:eastAsia="宋体" w:cs="宋体"/>
          <w:b w:val="0"/>
          <w:bCs/>
          <w:sz w:val="28"/>
          <w:szCs w:val="28"/>
          <w:lang w:val="en-US" w:eastAsia="zh-CN"/>
        </w:rPr>
        <w:t>357.65</w:t>
      </w:r>
      <w:r>
        <w:rPr>
          <w:rFonts w:hint="eastAsia" w:ascii="Times New Roman" w:hAnsi="Times New Roman" w:eastAsia="仿宋_GB2312" w:cs="Times New Roman"/>
          <w:color w:val="auto"/>
          <w:kern w:val="0"/>
          <w:sz w:val="32"/>
          <w:szCs w:val="32"/>
          <w:lang w:val="en-US" w:eastAsia="zh-CN"/>
        </w:rPr>
        <w:t>万元，年末结转和结余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w:t>
      </w:r>
    </w:p>
    <w:p w14:paraId="2C320C76">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default" w:ascii="Times New Roman" w:hAnsi="Times New Roman" w:eastAsia="楷体_GB2312" w:cs="Times New Roman"/>
          <w:b w:val="0"/>
          <w:bCs/>
          <w:sz w:val="32"/>
          <w:szCs w:val="32"/>
          <w:lang w:val="en-US" w:eastAsia="zh-CN"/>
        </w:rPr>
        <w:t>基本支出情况</w:t>
      </w:r>
    </w:p>
    <w:p w14:paraId="1D9F919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eastAsia" w:cs="Times New Roman"/>
          <w:color w:val="auto"/>
          <w:kern w:val="0"/>
          <w:sz w:val="32"/>
          <w:szCs w:val="32"/>
          <w:lang w:val="en-US" w:eastAsia="zh-CN"/>
        </w:rPr>
        <w:t>社保中心2024</w:t>
      </w:r>
      <w:r>
        <w:rPr>
          <w:rFonts w:hint="eastAsia" w:ascii="Times New Roman" w:hAnsi="Times New Roman" w:eastAsia="仿宋_GB2312" w:cs="Times New Roman"/>
          <w:color w:val="auto"/>
          <w:kern w:val="0"/>
          <w:sz w:val="32"/>
          <w:szCs w:val="32"/>
          <w:lang w:val="en-US" w:eastAsia="zh-CN"/>
        </w:rPr>
        <w:t>年度一般公共预算财政拨款基本支出年初结转和结余</w:t>
      </w:r>
      <w:r>
        <w:rPr>
          <w:rFonts w:hint="eastAsia" w:cs="Times New Roman"/>
          <w:color w:val="auto"/>
          <w:kern w:val="0"/>
          <w:sz w:val="32"/>
          <w:szCs w:val="32"/>
          <w:lang w:val="en-US" w:eastAsia="zh-CN"/>
        </w:rPr>
        <w:t xml:space="preserve"> 0</w:t>
      </w:r>
      <w:r>
        <w:rPr>
          <w:rFonts w:hint="eastAsia" w:ascii="Times New Roman" w:hAnsi="Times New Roman" w:eastAsia="仿宋_GB2312" w:cs="Times New Roman"/>
          <w:color w:val="auto"/>
          <w:kern w:val="0"/>
          <w:sz w:val="32"/>
          <w:szCs w:val="32"/>
          <w:lang w:val="en-US" w:eastAsia="zh-CN"/>
        </w:rPr>
        <w:t>万元，本年收入</w:t>
      </w:r>
      <w:r>
        <w:rPr>
          <w:rFonts w:hint="eastAsia" w:ascii="宋体" w:hAnsi="宋体" w:eastAsia="宋体" w:cs="宋体"/>
          <w:color w:val="000000"/>
          <w:sz w:val="28"/>
          <w:szCs w:val="28"/>
          <w:lang w:val="en-US" w:eastAsia="zh-CN"/>
        </w:rPr>
        <w:t>357.65</w:t>
      </w:r>
      <w:r>
        <w:rPr>
          <w:rFonts w:hint="eastAsia" w:ascii="Times New Roman" w:hAnsi="Times New Roman" w:eastAsia="仿宋_GB2312" w:cs="Times New Roman"/>
          <w:color w:val="auto"/>
          <w:kern w:val="0"/>
          <w:sz w:val="32"/>
          <w:szCs w:val="32"/>
          <w:lang w:val="en-US" w:eastAsia="zh-CN"/>
        </w:rPr>
        <w:t>万元，本年支出</w:t>
      </w:r>
      <w:r>
        <w:rPr>
          <w:rFonts w:hint="eastAsia" w:ascii="宋体" w:hAnsi="宋体" w:eastAsia="宋体" w:cs="宋体"/>
          <w:color w:val="000000"/>
          <w:sz w:val="28"/>
          <w:szCs w:val="28"/>
          <w:lang w:val="en-US" w:eastAsia="zh-CN"/>
        </w:rPr>
        <w:t>357.65</w:t>
      </w:r>
      <w:r>
        <w:rPr>
          <w:rFonts w:hint="eastAsia" w:ascii="Times New Roman" w:hAnsi="Times New Roman" w:eastAsia="仿宋_GB2312" w:cs="Times New Roman"/>
          <w:color w:val="auto"/>
          <w:kern w:val="0"/>
          <w:sz w:val="32"/>
          <w:szCs w:val="32"/>
          <w:lang w:val="en-US" w:eastAsia="zh-CN"/>
        </w:rPr>
        <w:t>万元，年末结转和结余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w:t>
      </w:r>
    </w:p>
    <w:p w14:paraId="1321C52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lang w:val="en-US" w:eastAsia="zh-CN"/>
        </w:rPr>
        <w:t>（二）项目支出情况</w:t>
      </w:r>
    </w:p>
    <w:p w14:paraId="4B7378C4">
      <w:pPr>
        <w:spacing w:line="600" w:lineRule="exact"/>
        <w:ind w:firstLine="640" w:firstLineChars="200"/>
        <w:rPr>
          <w:rFonts w:hint="eastAsia" w:ascii="Times New Roman" w:hAnsi="Times New Roman" w:eastAsia="仿宋_GB2312" w:cs="Times New Roman"/>
          <w:color w:val="auto"/>
          <w:kern w:val="0"/>
          <w:sz w:val="32"/>
          <w:szCs w:val="32"/>
          <w:lang w:val="en-US" w:eastAsia="zh-CN"/>
        </w:rPr>
      </w:pPr>
      <w:r>
        <w:rPr>
          <w:rFonts w:hint="eastAsia" w:cs="Times New Roman"/>
          <w:color w:val="auto"/>
          <w:kern w:val="0"/>
          <w:sz w:val="32"/>
          <w:szCs w:val="32"/>
          <w:lang w:val="en-US" w:eastAsia="zh-CN"/>
        </w:rPr>
        <w:t>社保中心2024</w:t>
      </w:r>
      <w:r>
        <w:rPr>
          <w:rFonts w:hint="eastAsia" w:ascii="Times New Roman" w:hAnsi="Times New Roman" w:eastAsia="仿宋_GB2312" w:cs="Times New Roman"/>
          <w:color w:val="auto"/>
          <w:kern w:val="0"/>
          <w:sz w:val="32"/>
          <w:szCs w:val="32"/>
          <w:lang w:val="en-US" w:eastAsia="zh-CN"/>
        </w:rPr>
        <w:t>年度一般公共预算财政拨款项目支出年初结转和结余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万元，本年收入</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万元，本年支出</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万元，年末结转和结余</w:t>
      </w:r>
      <w:r>
        <w:rPr>
          <w:rFonts w:hint="eastAsia"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val="en-US" w:eastAsia="zh-CN"/>
        </w:rPr>
        <w:t>万元。</w:t>
      </w:r>
    </w:p>
    <w:p w14:paraId="35FC8C6B">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14:paraId="73C0867D">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14:paraId="6389EEEB">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ascii="Times New Roman" w:hAnsi="Times New Roman" w:cs="Times New Roman"/>
          <w:sz w:val="32"/>
          <w:szCs w:val="32"/>
          <w:lang w:val="en-US" w:eastAsia="zh-CN"/>
        </w:rPr>
        <w:t>4</w:t>
      </w:r>
      <w:r>
        <w:rPr>
          <w:rFonts w:hint="default" w:ascii="Times New Roman" w:hAnsi="Times New Roman" w:eastAsia="仿宋_GB2312" w:cs="Times New Roman"/>
          <w:sz w:val="32"/>
          <w:szCs w:val="32"/>
          <w:lang w:eastAsia="zh-CN"/>
        </w:rPr>
        <w:t>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ascii="Times New Roman" w:hAnsi="Times New Roman" w:cs="Times New Roman"/>
          <w:sz w:val="32"/>
          <w:szCs w:val="32"/>
          <w:lang w:val="en-US" w:eastAsia="zh-CN"/>
        </w:rPr>
        <w:t>0</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w:t>
      </w:r>
    </w:p>
    <w:p w14:paraId="71A8F359">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14:paraId="60576C2F">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default" w:ascii="Times New Roman" w:hAnsi="Times New Roman" w:eastAsia="仿宋_GB2312" w:cs="Times New Roman"/>
          <w:sz w:val="32"/>
          <w:szCs w:val="32"/>
          <w:lang w:eastAsia="zh-CN"/>
        </w:rPr>
        <w:t>202</w:t>
      </w:r>
      <w:r>
        <w:rPr>
          <w:rFonts w:hint="eastAsia" w:ascii="Times New Roman" w:hAnsi="Times New Roman" w:cs="Times New Roman"/>
          <w:sz w:val="32"/>
          <w:szCs w:val="32"/>
          <w:lang w:val="en-US" w:eastAsia="zh-CN"/>
        </w:rPr>
        <w:t>4</w:t>
      </w:r>
      <w:r>
        <w:rPr>
          <w:rFonts w:hint="default" w:ascii="Times New Roman" w:hAnsi="Times New Roman" w:eastAsia="仿宋_GB2312" w:cs="Times New Roman"/>
          <w:sz w:val="32"/>
          <w:szCs w:val="32"/>
          <w:lang w:eastAsia="zh-CN"/>
        </w:rPr>
        <w:t>年度政府采购支出</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元，工程</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w:t>
      </w:r>
    </w:p>
    <w:p w14:paraId="6B66FDDE">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14:paraId="3CFEF66F">
      <w:pPr>
        <w:pStyle w:val="7"/>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eastAsia="仿宋_GB2312" w:cs="Times New Roman"/>
          <w:color w:val="auto"/>
          <w:kern w:val="0"/>
          <w:sz w:val="32"/>
          <w:szCs w:val="32"/>
          <w:lang w:val="en-US" w:eastAsia="zh-CN" w:bidi="ar-SA"/>
        </w:rPr>
        <w:t>本单位202</w:t>
      </w:r>
      <w:r>
        <w:rPr>
          <w:rFonts w:hint="eastAsia" w:cs="Times New Roman"/>
          <w:color w:val="auto"/>
          <w:kern w:val="0"/>
          <w:sz w:val="32"/>
          <w:szCs w:val="32"/>
          <w:lang w:val="en-US" w:eastAsia="zh-CN" w:bidi="ar-SA"/>
        </w:rPr>
        <w:t>4</w:t>
      </w:r>
      <w:r>
        <w:rPr>
          <w:rFonts w:hint="eastAsia" w:ascii="Times New Roman" w:hAnsi="Times New Roman" w:eastAsia="仿宋_GB2312" w:cs="Times New Roman"/>
          <w:color w:val="auto"/>
          <w:kern w:val="0"/>
          <w:sz w:val="32"/>
          <w:szCs w:val="32"/>
          <w:lang w:val="en-US" w:eastAsia="zh-CN" w:bidi="ar-SA"/>
        </w:rPr>
        <w:t>年无政府性基金预算支出</w:t>
      </w:r>
      <w:r>
        <w:rPr>
          <w:rFonts w:hint="eastAsia" w:cs="Times New Roman"/>
          <w:color w:val="auto"/>
          <w:kern w:val="0"/>
          <w:sz w:val="32"/>
          <w:szCs w:val="32"/>
          <w:lang w:val="en-US" w:eastAsia="zh-CN" w:bidi="ar-SA"/>
        </w:rPr>
        <w:t>。</w:t>
      </w:r>
    </w:p>
    <w:p w14:paraId="7F776B72">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3DFC9AB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eastAsia="仿宋_GB2312" w:cs="Times New Roman"/>
          <w:color w:val="auto"/>
          <w:kern w:val="0"/>
          <w:sz w:val="32"/>
          <w:szCs w:val="32"/>
          <w:lang w:val="en-US" w:eastAsia="zh-CN" w:bidi="ar-SA"/>
        </w:rPr>
        <w:t>本单位202</w:t>
      </w:r>
      <w:r>
        <w:rPr>
          <w:rFonts w:hint="eastAsia" w:cs="Times New Roman"/>
          <w:color w:val="auto"/>
          <w:kern w:val="0"/>
          <w:sz w:val="32"/>
          <w:szCs w:val="32"/>
          <w:lang w:val="en-US" w:eastAsia="zh-CN" w:bidi="ar-SA"/>
        </w:rPr>
        <w:t>4</w:t>
      </w:r>
      <w:r>
        <w:rPr>
          <w:rFonts w:hint="eastAsia" w:ascii="Times New Roman" w:hAnsi="Times New Roman" w:eastAsia="仿宋_GB2312" w:cs="Times New Roman"/>
          <w:color w:val="auto"/>
          <w:kern w:val="0"/>
          <w:sz w:val="32"/>
          <w:szCs w:val="32"/>
          <w:lang w:val="en-US" w:eastAsia="zh-CN" w:bidi="ar-SA"/>
        </w:rPr>
        <w:t>年无国有资本经营预算支出。</w:t>
      </w:r>
    </w:p>
    <w:p w14:paraId="4017005E">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232D9AEE">
      <w:pPr>
        <w:pStyle w:val="7"/>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本单位202</w:t>
      </w:r>
      <w:r>
        <w:rPr>
          <w:rFonts w:hint="eastAsia" w:cs="Times New Roman"/>
          <w:color w:val="auto"/>
          <w:kern w:val="0"/>
          <w:sz w:val="32"/>
          <w:szCs w:val="32"/>
          <w:lang w:val="en-US" w:eastAsia="zh-CN" w:bidi="ar-SA"/>
        </w:rPr>
        <w:t>4</w:t>
      </w:r>
      <w:r>
        <w:rPr>
          <w:rFonts w:hint="eastAsia" w:ascii="Times New Roman" w:hAnsi="Times New Roman" w:eastAsia="仿宋_GB2312" w:cs="Times New Roman"/>
          <w:color w:val="auto"/>
          <w:kern w:val="0"/>
          <w:sz w:val="32"/>
          <w:szCs w:val="32"/>
          <w:lang w:val="en-US" w:eastAsia="zh-CN" w:bidi="ar-SA"/>
        </w:rPr>
        <w:t>年无社会保险基金预算支出。</w:t>
      </w:r>
    </w:p>
    <w:p w14:paraId="5FBDE2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7CD535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p>
    <w:p w14:paraId="792DAC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bCs/>
          <w:sz w:val="32"/>
          <w:szCs w:val="32"/>
        </w:rPr>
      </w:pPr>
      <w:r>
        <w:rPr>
          <w:rFonts w:hint="default" w:ascii="Times New Roman" w:hAnsi="Times New Roman" w:eastAsia="仿宋_GB2312" w:cs="Times New Roman"/>
          <w:color w:val="auto"/>
          <w:kern w:val="0"/>
          <w:sz w:val="32"/>
          <w:szCs w:val="32"/>
          <w:lang w:val="en-US" w:eastAsia="zh-CN"/>
        </w:rPr>
        <w:t>绩效目标完成情况：工作完成率、工作完成及时率、质量达标率都达到了100%</w:t>
      </w:r>
      <w:r>
        <w:rPr>
          <w:rFonts w:hint="eastAsia" w:ascii="仿宋_GB2312" w:cs="仿宋_GB2312"/>
          <w:i w:val="0"/>
          <w:iCs w:val="0"/>
          <w:caps w:val="0"/>
          <w:color w:val="000000"/>
          <w:spacing w:val="0"/>
          <w:sz w:val="32"/>
          <w:szCs w:val="32"/>
          <w:shd w:val="clear" w:fill="FFFFFF"/>
          <w:lang w:eastAsia="zh-CN"/>
        </w:rPr>
        <w:t>，</w:t>
      </w:r>
      <w:r>
        <w:rPr>
          <w:rFonts w:hint="eastAsia" w:ascii="Times New Roman" w:hAnsi="Times New Roman" w:cs="Times New Roman"/>
          <w:color w:val="auto"/>
          <w:kern w:val="0"/>
          <w:sz w:val="32"/>
          <w:szCs w:val="32"/>
          <w:lang w:val="en-US" w:eastAsia="zh-CN" w:bidi="ar-SA"/>
        </w:rPr>
        <w:t>本单位</w:t>
      </w:r>
      <w:r>
        <w:rPr>
          <w:rFonts w:hint="eastAsia" w:ascii="Times New Roman" w:hAnsi="Times New Roman" w:eastAsia="仿宋_GB2312" w:cs="Times New Roman"/>
          <w:color w:val="auto"/>
          <w:kern w:val="0"/>
          <w:sz w:val="32"/>
          <w:szCs w:val="32"/>
          <w:lang w:val="en-US" w:eastAsia="zh-CN" w:bidi="ar-SA"/>
        </w:rPr>
        <w:t>绩效评估自评总得分为</w:t>
      </w:r>
      <w:r>
        <w:rPr>
          <w:rFonts w:hint="eastAsia" w:cs="Times New Roman"/>
          <w:color w:val="auto"/>
          <w:kern w:val="0"/>
          <w:sz w:val="32"/>
          <w:szCs w:val="32"/>
          <w:lang w:val="en-US" w:eastAsia="zh-CN" w:bidi="ar-SA"/>
        </w:rPr>
        <w:t>95</w:t>
      </w:r>
      <w:r>
        <w:rPr>
          <w:rFonts w:hint="eastAsia" w:ascii="Times New Roman" w:hAnsi="Times New Roman" w:eastAsia="仿宋_GB2312" w:cs="Times New Roman"/>
          <w:color w:val="auto"/>
          <w:kern w:val="0"/>
          <w:sz w:val="32"/>
          <w:szCs w:val="32"/>
          <w:lang w:val="en-US" w:eastAsia="zh-CN" w:bidi="ar-SA"/>
        </w:rPr>
        <w:t>分</w:t>
      </w:r>
      <w:r>
        <w:rPr>
          <w:rFonts w:hint="eastAsia" w:cs="Times New Roman"/>
          <w:color w:val="auto"/>
          <w:kern w:val="0"/>
          <w:sz w:val="32"/>
          <w:szCs w:val="32"/>
          <w:lang w:val="en-US" w:eastAsia="zh-CN" w:bidi="ar-SA"/>
        </w:rPr>
        <w:t>。</w:t>
      </w:r>
      <w:r>
        <w:rPr>
          <w:rFonts w:hint="eastAsia" w:ascii="仿宋" w:hAnsi="仿宋" w:eastAsia="仿宋"/>
          <w:bCs/>
          <w:sz w:val="32"/>
          <w:szCs w:val="32"/>
        </w:rPr>
        <w:t>本部门整体支出和项目支出实行绩效目标管理，纳入202</w:t>
      </w:r>
      <w:r>
        <w:rPr>
          <w:rFonts w:hint="eastAsia" w:ascii="仿宋" w:hAnsi="仿宋" w:eastAsia="仿宋"/>
          <w:bCs/>
          <w:sz w:val="32"/>
          <w:szCs w:val="32"/>
          <w:lang w:val="en-US" w:eastAsia="zh-CN"/>
        </w:rPr>
        <w:t>4</w:t>
      </w:r>
      <w:r>
        <w:rPr>
          <w:rFonts w:hint="eastAsia" w:ascii="仿宋" w:hAnsi="仿宋" w:eastAsia="仿宋"/>
          <w:bCs/>
          <w:sz w:val="32"/>
          <w:szCs w:val="32"/>
        </w:rPr>
        <w:t>年部门整体支出绩效目标的金额为</w:t>
      </w:r>
      <w:r>
        <w:rPr>
          <w:rFonts w:hint="eastAsia" w:ascii="宋体" w:hAnsi="宋体" w:eastAsia="宋体" w:cs="宋体"/>
          <w:color w:val="000000"/>
          <w:sz w:val="28"/>
          <w:szCs w:val="28"/>
          <w:lang w:val="en-US" w:eastAsia="zh-CN"/>
        </w:rPr>
        <w:t>376.91</w:t>
      </w:r>
      <w:r>
        <w:rPr>
          <w:rFonts w:hint="eastAsia" w:ascii="仿宋" w:hAnsi="仿宋" w:eastAsia="仿宋"/>
          <w:bCs/>
          <w:sz w:val="32"/>
          <w:szCs w:val="32"/>
        </w:rPr>
        <w:t>万元，</w:t>
      </w:r>
      <w:r>
        <w:rPr>
          <w:rFonts w:hint="eastAsia" w:ascii="仿宋" w:hAnsi="仿宋" w:eastAsia="仿宋" w:cs="Arial Unicode MS"/>
          <w:sz w:val="32"/>
          <w:szCs w:val="32"/>
        </w:rPr>
        <w:t>其中：基本支出</w:t>
      </w:r>
      <w:r>
        <w:rPr>
          <w:rFonts w:hint="eastAsia" w:ascii="宋体" w:hAnsi="宋体" w:eastAsia="宋体" w:cs="宋体"/>
          <w:color w:val="000000"/>
          <w:sz w:val="28"/>
          <w:szCs w:val="28"/>
          <w:lang w:val="en-US" w:eastAsia="zh-CN"/>
        </w:rPr>
        <w:t>376.91</w:t>
      </w:r>
      <w:r>
        <w:rPr>
          <w:rFonts w:hint="eastAsia" w:ascii="仿宋" w:hAnsi="仿宋" w:eastAsia="仿宋" w:cs="Arial Unicode MS"/>
          <w:sz w:val="32"/>
          <w:szCs w:val="32"/>
        </w:rPr>
        <w:t>万元，项目支出</w:t>
      </w:r>
      <w:r>
        <w:rPr>
          <w:rFonts w:hint="eastAsia" w:ascii="仿宋" w:hAnsi="仿宋" w:eastAsia="仿宋" w:cs="Arial Unicode MS"/>
          <w:sz w:val="32"/>
          <w:szCs w:val="32"/>
          <w:lang w:val="en-US" w:eastAsia="zh-CN"/>
        </w:rPr>
        <w:t>0</w:t>
      </w:r>
      <w:r>
        <w:rPr>
          <w:rFonts w:hint="eastAsia" w:ascii="仿宋" w:hAnsi="仿宋" w:eastAsia="仿宋" w:cs="Arial Unicode MS"/>
          <w:sz w:val="32"/>
          <w:szCs w:val="32"/>
        </w:rPr>
        <w:t>万元</w:t>
      </w:r>
      <w:r>
        <w:rPr>
          <w:rFonts w:hint="eastAsia" w:ascii="仿宋" w:hAnsi="仿宋" w:eastAsia="仿宋" w:cs="Arial Unicode MS"/>
          <w:sz w:val="32"/>
          <w:szCs w:val="32"/>
          <w:lang w:eastAsia="zh-CN"/>
        </w:rPr>
        <w:t>，</w:t>
      </w:r>
      <w:r>
        <w:rPr>
          <w:rFonts w:hint="eastAsia" w:ascii="仿宋" w:hAnsi="仿宋" w:eastAsia="仿宋"/>
          <w:bCs/>
          <w:sz w:val="32"/>
          <w:szCs w:val="32"/>
        </w:rPr>
        <w:t>完成了年初制订的绩效工作目标。</w:t>
      </w:r>
    </w:p>
    <w:p w14:paraId="31A8ACC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w:t>
      </w:r>
      <w:r>
        <w:rPr>
          <w:rFonts w:hint="eastAsia" w:ascii="楷体_GB2312" w:eastAsia="楷体_GB2312" w:cs="楷体_GB2312"/>
          <w:i w:val="0"/>
          <w:iCs w:val="0"/>
          <w:caps w:val="0"/>
          <w:color w:val="000000"/>
          <w:spacing w:val="0"/>
          <w:sz w:val="32"/>
          <w:szCs w:val="32"/>
          <w:shd w:val="clear" w:fill="FFFFFF"/>
          <w:lang w:eastAsia="zh-CN"/>
        </w:rPr>
        <w:t>二</w:t>
      </w:r>
      <w:r>
        <w:rPr>
          <w:rFonts w:hint="default" w:ascii="楷体_GB2312" w:eastAsia="楷体_GB2312" w:cs="楷体_GB2312"/>
          <w:i w:val="0"/>
          <w:iCs w:val="0"/>
          <w:caps w:val="0"/>
          <w:color w:val="000000"/>
          <w:spacing w:val="0"/>
          <w:sz w:val="32"/>
          <w:szCs w:val="32"/>
          <w:shd w:val="clear" w:fill="FFFFFF"/>
        </w:rPr>
        <w:t>）评价指标分析（或综合评价情况）。</w:t>
      </w:r>
    </w:p>
    <w:p w14:paraId="1BE247C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一是绩效自评结果。2024年度本部门整体支出全年预算数376.91万元，执行数376.91万元，完成预算的100%，绩效自评得分95分，评价等级为“优秀”。绩效目标完成情况：（1）单位经费支出绩效情况：我中心为一级预算单位，本年支出合计376.91万元，其中:基本支出376.91万元；工资和福利支出288.20万元；商品和服务支出83.16万元；对个人和家庭补助支出5.55万元。（2）机关社保基金，劳动社保基金，城乡居保基金严格执行基金管理制度，收支两条线，收入户按时清零到财政专户，三个保险待遇按时足额发放到位，每月按时进行账务处理，及时报送相关报表。</w:t>
      </w:r>
    </w:p>
    <w:p w14:paraId="4640B13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七、存在的问题及原因分析</w:t>
      </w:r>
    </w:p>
    <w:p w14:paraId="6DF000C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一）社保保基金监管存在薄弱环节。一是监管工作线长面广。全县社保参保人员20多万人、乡镇经办机构13个，社保基金年收支规模近5.8多亿元。涉及面广、风险点多。二是监管手段相对涉后，没有专门的行政执法队伍，调查取证较为困难。增加了社保监管难度，尤以定点零售药店最为突出。</w:t>
      </w:r>
    </w:p>
    <w:p w14:paraId="29694F2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（二）人员力量薄弱，人员队伍有待充实我中心拥有25个编制，实有编制人数22人，工作人员严重不足。</w:t>
      </w:r>
    </w:p>
    <w:p w14:paraId="03238B7A">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ascii="Times New Roman" w:hAnsi="Times New Roman" w:eastAsia="黑体" w:cs="Times New Roman"/>
          <w:sz w:val="32"/>
          <w:szCs w:val="32"/>
        </w:rPr>
      </w:pPr>
      <w:r>
        <w:rPr>
          <w:rFonts w:hint="eastAsia" w:eastAsia="黑体" w:cs="Times New Roman"/>
          <w:sz w:val="32"/>
          <w:szCs w:val="32"/>
          <w:lang w:eastAsia="zh-CN"/>
        </w:rPr>
        <w:t>八、</w:t>
      </w:r>
      <w:r>
        <w:rPr>
          <w:rFonts w:ascii="Times New Roman" w:hAnsi="Times New Roman" w:eastAsia="黑体" w:cs="Times New Roman"/>
          <w:sz w:val="32"/>
          <w:szCs w:val="32"/>
        </w:rPr>
        <w:t>下一步改进措施</w:t>
      </w:r>
    </w:p>
    <w:p w14:paraId="16F97CD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一）增强绩效意识、科学设置绩效目标。单位加强绩效政策学习，增强绩效意识，绩效目标设置要做到指向明确、合理可行、相应匹配、细化量化，把绩效目标设置得更科学规范，使绩效目标真正发挥指导性作用。</w:t>
      </w:r>
    </w:p>
    <w:p w14:paraId="0D37AEB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二）完善财务制度，严格把控财务报账。单位要不断完善财务制度，落实岗位责任，并加强对财务人员及相关工作人员的业务培训，提高业务能力，严格按照财务制度要求规范报销行为，做到超标准不报，票据资料不齐不报。</w:t>
      </w:r>
    </w:p>
    <w:p w14:paraId="716D592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三）合理编制财政预算。单位应该结合上年度预算执行情况及本年度预算收支变化因素来编制本年度预算，充分考虑在执行的过程中可能发生的问题，加强预算的科学性、可操作性，减少或避免预算调整，提高资金使用效率。二是部门评价结果。2024年度本部门未开展部门评价工作，暂无绩效评价结果。三是事前绩效评估结果。2024年度本部门未开展事前绩效评估工作，暂无事前绩效评估结果。</w:t>
      </w:r>
    </w:p>
    <w:p w14:paraId="469F94C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九、部门整体支出绩效自评结果拟应用和公开情况</w:t>
      </w:r>
    </w:p>
    <w:p w14:paraId="1AF5E05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shd w:val="clear" w:fill="FFFFFF"/>
        </w:rPr>
        <w:t>一是将评价结果作为下一年度单位预算编制的核心依据，对绩效优秀的项目优先保障资金，对低效、无效项目削减或取消预算，实现“绩优则预算优”。二是针对评价中发现的问题，制定专项整改方案，明确责任部门与整改时限，推动公共服务质量提升。三是将评价结果纳入单位部门年度考核和领导干部履职评价，强化责任意识。四是按规定公开绩效评价结果，接受公众和审计监督，提升财政资金使用的透明度和公信力。</w:t>
      </w:r>
    </w:p>
    <w:p w14:paraId="18CDC9F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Times New Roman" w:hAnsi="Times New Roman" w:eastAsia="黑体" w:cs="Times New Roman"/>
          <w:sz w:val="32"/>
          <w:szCs w:val="32"/>
        </w:rPr>
      </w:pPr>
      <w:r>
        <w:rPr>
          <w:rFonts w:hint="eastAsia" w:eastAsia="黑体" w:cs="Times New Roman"/>
          <w:sz w:val="32"/>
          <w:szCs w:val="32"/>
          <w:lang w:eastAsia="zh-CN"/>
        </w:rPr>
        <w:t>十、</w:t>
      </w:r>
      <w:r>
        <w:rPr>
          <w:rFonts w:ascii="Times New Roman" w:hAnsi="Times New Roman" w:eastAsia="黑体" w:cs="Times New Roman"/>
          <w:sz w:val="32"/>
          <w:szCs w:val="32"/>
        </w:rPr>
        <w:t>其他需要说明的情况</w:t>
      </w:r>
    </w:p>
    <w:p w14:paraId="64F7448B">
      <w:pPr>
        <w:pStyle w:val="7"/>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eastAsia" w:ascii="仿宋_GB2312" w:cs="仿宋_GB2312"/>
          <w:i w:val="0"/>
          <w:iCs w:val="0"/>
          <w:caps w:val="0"/>
          <w:color w:val="000000"/>
          <w:spacing w:val="0"/>
          <w:sz w:val="32"/>
          <w:szCs w:val="32"/>
          <w:shd w:val="clear" w:fill="FFFFFF"/>
          <w:lang w:eastAsia="zh-CN"/>
        </w:rPr>
        <w:t>无其他说明</w:t>
      </w:r>
      <w:r>
        <w:rPr>
          <w:rFonts w:hint="default" w:ascii="仿宋_GB2312" w:eastAsia="仿宋_GB2312" w:cs="仿宋_GB2312"/>
          <w:i w:val="0"/>
          <w:iCs w:val="0"/>
          <w:caps w:val="0"/>
          <w:color w:val="000000"/>
          <w:spacing w:val="0"/>
          <w:sz w:val="32"/>
          <w:szCs w:val="32"/>
          <w:shd w:val="clear" w:fill="FFFFFF"/>
        </w:rPr>
        <w:t>。</w:t>
      </w:r>
      <w:bookmarkStart w:id="0" w:name="_GoBack"/>
      <w:bookmarkEnd w:id="0"/>
    </w:p>
    <w:p w14:paraId="4564CA29">
      <w:pPr>
        <w:pStyle w:val="6"/>
        <w:rPr>
          <w:rFonts w:hint="eastAsia"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2060B7"/>
    <w:multiLevelType w:val="singleLevel"/>
    <w:tmpl w:val="312060B7"/>
    <w:lvl w:ilvl="0" w:tentative="0">
      <w:start w:val="3"/>
      <w:numFmt w:val="chineseCounting"/>
      <w:suff w:val="nothing"/>
      <w:lvlText w:val="%1、"/>
      <w:lvlJc w:val="left"/>
      <w:rPr>
        <w:rFonts w:hint="eastAsia"/>
      </w:rPr>
    </w:lvl>
  </w:abstractNum>
  <w:abstractNum w:abstractNumId="1">
    <w:nsid w:val="532E2859"/>
    <w:multiLevelType w:val="singleLevel"/>
    <w:tmpl w:val="532E2859"/>
    <w:lvl w:ilvl="0" w:tentative="0">
      <w:start w:val="1"/>
      <w:numFmt w:val="chineseCounting"/>
      <w:suff w:val="nothing"/>
      <w:lvlText w:val="（%1）"/>
      <w:lvlJc w:val="left"/>
      <w:rPr>
        <w:rFonts w:hint="eastAsia"/>
      </w:rPr>
    </w:lvl>
  </w:abstractNum>
  <w:abstractNum w:abstractNumId="2">
    <w:nsid w:val="79DBF478"/>
    <w:multiLevelType w:val="singleLevel"/>
    <w:tmpl w:val="79DBF478"/>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953ED"/>
    <w:rsid w:val="4D564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No Spacing_ad81b47b-6779-4c76-b471-79375858c8cb"/>
    <w:basedOn w:val="1"/>
    <w:autoRedefine/>
    <w:unhideWhenUsed/>
    <w:qFormat/>
    <w:uiPriority w:val="99"/>
    <w:pPr>
      <w:ind w:firstLine="200" w:firstLineChars="200"/>
    </w:pPr>
    <w:rPr>
      <w:rFonts w:hint="default"/>
      <w:sz w:val="21"/>
      <w:szCs w:val="24"/>
    </w:rPr>
  </w:style>
  <w:style w:type="paragraph" w:customStyle="1" w:styleId="7">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2596</Words>
  <Characters>2732</Characters>
  <Lines>0</Lines>
  <Paragraphs>0</Paragraphs>
  <TotalTime>0</TotalTime>
  <ScaleCrop>false</ScaleCrop>
  <LinksUpToDate>false</LinksUpToDate>
  <CharactersWithSpaces>2744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2025-10-20T07:53:00Z</dcterms:created>
  <dc:creator>Administrator.SKY-20160622FRN</dc:creator>
  <cp:lastModifiedBy>与命定之人邂逅的故事</cp:lastModifiedBy>
  <dcterms:modified xsi:type="dcterms:W3CDTF">2025-10-20T08:30:25Z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eyJoZGlkIjoiY2U3MDg4ZTc3MDM3YTEyYzBkNGRhYWU3ZTIxMjkzMWUiLCJ1c2VySWQiOiIxNjI3NTM1Mzg1In0=</vt:lpwstr>
  </property>
  <property fmtid="{D5CDD505-2E9C-101B-9397-08002B2CF9AE}" pid="4" name="ICV">
    <vt:lpwstr>D3FE41250F69453096F5F66C273646B2_12</vt:lpwstr>
  </property>
</Properties>
</file>