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ECB5CD">
      <w:pPr>
        <w:spacing w:line="600" w:lineRule="exact"/>
        <w:rPr>
          <w:rFonts w:ascii="Times New Roman" w:hAnsi="Times New Roman" w:eastAsia="黑体" w:cs="Times New Roman"/>
          <w:sz w:val="32"/>
          <w:szCs w:val="32"/>
        </w:rPr>
      </w:pPr>
    </w:p>
    <w:p w14:paraId="7A24AA5A">
      <w:pPr>
        <w:spacing w:line="600" w:lineRule="exact"/>
        <w:rPr>
          <w:rFonts w:ascii="Times New Roman" w:hAnsi="Times New Roman" w:eastAsia="黑体" w:cs="Times New Roman"/>
          <w:sz w:val="32"/>
          <w:szCs w:val="32"/>
        </w:rPr>
      </w:pPr>
    </w:p>
    <w:p w14:paraId="779488A5">
      <w:pPr>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w:t>
      </w:r>
      <w:r>
        <w:rPr>
          <w:rFonts w:hint="eastAsia" w:eastAsia="方正小标宋_GBK" w:cs="Times New Roman"/>
          <w:sz w:val="52"/>
          <w:szCs w:val="52"/>
          <w:lang w:val="en-US" w:eastAsia="zh-CN"/>
        </w:rPr>
        <w:t>4</w:t>
      </w:r>
      <w:r>
        <w:rPr>
          <w:rFonts w:ascii="Times New Roman" w:hAnsi="Times New Roman" w:eastAsia="方正小标宋_GBK" w:cs="Times New Roman"/>
          <w:sz w:val="52"/>
          <w:szCs w:val="52"/>
        </w:rPr>
        <w:t>年度</w:t>
      </w:r>
      <w:r>
        <w:rPr>
          <w:rFonts w:hint="eastAsia" w:eastAsia="方正小标宋_GBK" w:cs="Times New Roman"/>
          <w:sz w:val="52"/>
          <w:szCs w:val="52"/>
          <w:lang w:val="en-US" w:eastAsia="zh-CN"/>
        </w:rPr>
        <w:t>水运事务中心</w:t>
      </w:r>
      <w:r>
        <w:rPr>
          <w:rFonts w:hint="eastAsia" w:eastAsia="方正小标宋_GBK" w:cs="Times New Roman"/>
          <w:sz w:val="52"/>
          <w:szCs w:val="52"/>
          <w:lang w:eastAsia="zh-CN"/>
        </w:rPr>
        <w:t>部门</w:t>
      </w:r>
      <w:r>
        <w:rPr>
          <w:rFonts w:ascii="Times New Roman" w:hAnsi="Times New Roman" w:eastAsia="方正小标宋_GBK" w:cs="Times New Roman"/>
          <w:sz w:val="52"/>
          <w:szCs w:val="52"/>
        </w:rPr>
        <w:t>整体支出</w:t>
      </w:r>
    </w:p>
    <w:p w14:paraId="463244C4">
      <w:pPr>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绩效自评报告</w:t>
      </w:r>
    </w:p>
    <w:p w14:paraId="63550B7C">
      <w:pPr>
        <w:jc w:val="center"/>
        <w:rPr>
          <w:rFonts w:ascii="Times New Roman" w:hAnsi="Times New Roman" w:eastAsia="方正小标宋_GBK" w:cs="Times New Roman"/>
          <w:b/>
          <w:sz w:val="52"/>
          <w:szCs w:val="52"/>
        </w:rPr>
      </w:pPr>
    </w:p>
    <w:p w14:paraId="624F23A4">
      <w:pPr>
        <w:jc w:val="center"/>
        <w:rPr>
          <w:rFonts w:ascii="Times New Roman" w:hAnsi="Times New Roman" w:eastAsia="黑体" w:cs="Times New Roman"/>
          <w:sz w:val="32"/>
          <w:szCs w:val="32"/>
        </w:rPr>
      </w:pPr>
    </w:p>
    <w:p w14:paraId="4F06F704">
      <w:pPr>
        <w:jc w:val="center"/>
        <w:rPr>
          <w:rFonts w:ascii="Times New Roman" w:hAnsi="Times New Roman" w:eastAsia="黑体" w:cs="Times New Roman"/>
          <w:sz w:val="32"/>
          <w:szCs w:val="32"/>
        </w:rPr>
      </w:pPr>
    </w:p>
    <w:p w14:paraId="19BEC037">
      <w:pPr>
        <w:jc w:val="center"/>
        <w:rPr>
          <w:rFonts w:ascii="Times New Roman" w:hAnsi="Times New Roman" w:eastAsia="黑体" w:cs="Times New Roman"/>
          <w:sz w:val="32"/>
          <w:szCs w:val="32"/>
        </w:rPr>
      </w:pPr>
    </w:p>
    <w:p w14:paraId="77D93014">
      <w:pPr>
        <w:jc w:val="center"/>
        <w:rPr>
          <w:rFonts w:ascii="Times New Roman" w:hAnsi="Times New Roman" w:eastAsia="黑体" w:cs="Times New Roman"/>
          <w:sz w:val="32"/>
          <w:szCs w:val="32"/>
        </w:rPr>
      </w:pPr>
    </w:p>
    <w:p w14:paraId="47CCED5A">
      <w:pPr>
        <w:jc w:val="center"/>
        <w:rPr>
          <w:rFonts w:ascii="Times New Roman" w:hAnsi="Times New Roman" w:eastAsia="黑体" w:cs="Times New Roman"/>
          <w:sz w:val="32"/>
          <w:szCs w:val="32"/>
        </w:rPr>
      </w:pPr>
    </w:p>
    <w:p w14:paraId="6C9B5CB2">
      <w:pPr>
        <w:jc w:val="center"/>
        <w:rPr>
          <w:rFonts w:ascii="Times New Roman" w:hAnsi="Times New Roman" w:eastAsia="黑体" w:cs="Times New Roman"/>
          <w:sz w:val="32"/>
          <w:szCs w:val="32"/>
        </w:rPr>
      </w:pPr>
    </w:p>
    <w:p w14:paraId="67F40133">
      <w:pPr>
        <w:jc w:val="center"/>
        <w:rPr>
          <w:rFonts w:ascii="Times New Roman" w:hAnsi="Times New Roman" w:eastAsia="黑体" w:cs="Times New Roman"/>
          <w:sz w:val="32"/>
          <w:szCs w:val="32"/>
        </w:rPr>
      </w:pPr>
    </w:p>
    <w:p w14:paraId="4FFCC2D5">
      <w:pPr>
        <w:spacing w:line="600" w:lineRule="exact"/>
        <w:jc w:val="center"/>
        <w:rPr>
          <w:rFonts w:hint="default" w:ascii="仿宋" w:hAnsi="仿宋" w:eastAsia="仿宋" w:cs="仿宋"/>
          <w:sz w:val="40"/>
          <w:szCs w:val="40"/>
          <w:u w:val="single"/>
          <w:lang w:val="en-US" w:eastAsia="zh-CN"/>
        </w:rPr>
      </w:pPr>
      <w:r>
        <w:rPr>
          <w:rFonts w:hint="eastAsia" w:ascii="仿宋" w:hAnsi="仿宋" w:eastAsia="仿宋" w:cs="仿宋"/>
          <w:sz w:val="40"/>
          <w:szCs w:val="40"/>
        </w:rPr>
        <w:t>单位名称：</w:t>
      </w:r>
      <w:r>
        <w:rPr>
          <w:rFonts w:hint="eastAsia" w:ascii="仿宋" w:hAnsi="仿宋" w:eastAsia="仿宋" w:cs="仿宋"/>
          <w:sz w:val="40"/>
          <w:szCs w:val="40"/>
          <w:u w:val="single"/>
          <w:lang w:val="en-US" w:eastAsia="zh-CN"/>
        </w:rPr>
        <w:t>城步苗族自治县水运事务中心</w:t>
      </w:r>
      <w:r>
        <w:rPr>
          <w:rFonts w:hint="eastAsia" w:ascii="仿宋" w:hAnsi="仿宋" w:eastAsia="仿宋" w:cs="仿宋"/>
          <w:sz w:val="40"/>
          <w:szCs w:val="40"/>
          <w:u w:val="single"/>
          <w:lang w:eastAsia="zh-CN"/>
        </w:rPr>
        <w:t>（盖章）</w:t>
      </w:r>
    </w:p>
    <w:p w14:paraId="6A44D1D8">
      <w:pPr>
        <w:spacing w:line="600" w:lineRule="exact"/>
        <w:jc w:val="center"/>
        <w:rPr>
          <w:rFonts w:hint="eastAsia" w:ascii="仿宋" w:hAnsi="仿宋" w:eastAsia="仿宋" w:cs="仿宋"/>
          <w:sz w:val="40"/>
          <w:szCs w:val="40"/>
        </w:rPr>
      </w:pPr>
      <w:r>
        <w:rPr>
          <w:rFonts w:hint="eastAsia" w:ascii="仿宋" w:hAnsi="仿宋" w:eastAsia="仿宋" w:cs="仿宋"/>
          <w:sz w:val="40"/>
          <w:szCs w:val="40"/>
          <w:lang w:val="en-US" w:eastAsia="zh-CN"/>
        </w:rPr>
        <w:t>2025</w:t>
      </w:r>
      <w:r>
        <w:rPr>
          <w:rFonts w:hint="eastAsia" w:ascii="仿宋" w:hAnsi="仿宋" w:eastAsia="仿宋" w:cs="仿宋"/>
          <w:sz w:val="40"/>
          <w:szCs w:val="40"/>
        </w:rPr>
        <w:t>年</w:t>
      </w:r>
      <w:r>
        <w:rPr>
          <w:rFonts w:hint="eastAsia" w:ascii="仿宋" w:hAnsi="仿宋" w:eastAsia="仿宋" w:cs="仿宋"/>
          <w:sz w:val="40"/>
          <w:szCs w:val="40"/>
          <w:lang w:val="en-US" w:eastAsia="zh-CN"/>
        </w:rPr>
        <w:t>4</w:t>
      </w:r>
      <w:r>
        <w:rPr>
          <w:rFonts w:hint="eastAsia" w:ascii="仿宋" w:hAnsi="仿宋" w:eastAsia="仿宋" w:cs="仿宋"/>
          <w:sz w:val="40"/>
          <w:szCs w:val="40"/>
        </w:rPr>
        <w:t>月</w:t>
      </w:r>
      <w:r>
        <w:rPr>
          <w:rFonts w:hint="eastAsia" w:ascii="仿宋" w:hAnsi="仿宋" w:eastAsia="仿宋" w:cs="仿宋"/>
          <w:sz w:val="40"/>
          <w:szCs w:val="40"/>
          <w:lang w:val="en-US" w:eastAsia="zh-CN"/>
        </w:rPr>
        <w:t>10</w:t>
      </w:r>
      <w:r>
        <w:rPr>
          <w:rFonts w:hint="eastAsia" w:ascii="仿宋" w:hAnsi="仿宋" w:eastAsia="仿宋" w:cs="仿宋"/>
          <w:sz w:val="40"/>
          <w:szCs w:val="40"/>
        </w:rPr>
        <w:t>日</w:t>
      </w:r>
    </w:p>
    <w:p w14:paraId="4C4160B2"/>
    <w:p w14:paraId="1C6BE4D3"/>
    <w:p w14:paraId="6DCCC2E5"/>
    <w:p w14:paraId="17D89A67"/>
    <w:p w14:paraId="0E822BF6"/>
    <w:p w14:paraId="112F08A5"/>
    <w:p w14:paraId="17B04610"/>
    <w:p w14:paraId="2496D4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14:paraId="04A145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sz w:val="44"/>
          <w:szCs w:val="44"/>
          <w:shd w:val="clear" w:fill="FFFFFF"/>
        </w:rPr>
      </w:pPr>
      <w:r>
        <w:rPr>
          <w:rFonts w:hint="eastAsia" w:ascii="方正小标宋_GBK" w:hAnsi="方正小标宋_GBK" w:eastAsia="方正小标宋_GBK" w:cs="方正小标宋_GBK"/>
          <w:i w:val="0"/>
          <w:iCs w:val="0"/>
          <w:caps w:val="0"/>
          <w:color w:val="000000"/>
          <w:spacing w:val="0"/>
          <w:sz w:val="44"/>
          <w:szCs w:val="44"/>
          <w:shd w:val="clear" w:fill="FFFFFF"/>
        </w:rPr>
        <w:t>202</w:t>
      </w:r>
      <w:r>
        <w:rPr>
          <w:rFonts w:hint="eastAsia" w:ascii="方正小标宋_GBK" w:hAnsi="方正小标宋_GBK" w:eastAsia="方正小标宋_GBK" w:cs="方正小标宋_GBK"/>
          <w:i w:val="0"/>
          <w:iCs w:val="0"/>
          <w:caps w:val="0"/>
          <w:color w:val="000000"/>
          <w:spacing w:val="0"/>
          <w:sz w:val="44"/>
          <w:szCs w:val="44"/>
          <w:shd w:val="clear" w:fill="FFFFFF"/>
          <w:lang w:val="en-US" w:eastAsia="zh-CN"/>
        </w:rPr>
        <w:t>4</w:t>
      </w:r>
      <w:r>
        <w:rPr>
          <w:rFonts w:hint="eastAsia" w:ascii="方正小标宋_GBK" w:hAnsi="方正小标宋_GBK" w:eastAsia="方正小标宋_GBK" w:cs="方正小标宋_GBK"/>
          <w:i w:val="0"/>
          <w:iCs w:val="0"/>
          <w:caps w:val="0"/>
          <w:color w:val="000000"/>
          <w:spacing w:val="0"/>
          <w:sz w:val="44"/>
          <w:szCs w:val="44"/>
          <w:shd w:val="clear" w:fill="FFFFFF"/>
        </w:rPr>
        <w:t>年度</w:t>
      </w:r>
      <w:r>
        <w:rPr>
          <w:rFonts w:hint="eastAsia" w:ascii="方正小标宋_GBK" w:hAnsi="方正小标宋_GBK" w:eastAsia="方正小标宋_GBK" w:cs="方正小标宋_GBK"/>
          <w:i w:val="0"/>
          <w:iCs w:val="0"/>
          <w:caps w:val="0"/>
          <w:color w:val="000000"/>
          <w:spacing w:val="0"/>
          <w:sz w:val="44"/>
          <w:szCs w:val="44"/>
          <w:shd w:val="clear" w:fill="FFFFFF"/>
          <w:lang w:val="en-US" w:eastAsia="zh-CN"/>
        </w:rPr>
        <w:t>水运事务中心</w:t>
      </w:r>
      <w:r>
        <w:rPr>
          <w:rFonts w:hint="eastAsia" w:ascii="方正小标宋_GBK" w:hAnsi="方正小标宋_GBK" w:eastAsia="方正小标宋_GBK" w:cs="方正小标宋_GBK"/>
          <w:i w:val="0"/>
          <w:iCs w:val="0"/>
          <w:caps w:val="0"/>
          <w:color w:val="000000"/>
          <w:spacing w:val="0"/>
          <w:sz w:val="44"/>
          <w:szCs w:val="44"/>
          <w:shd w:val="clear" w:fill="FFFFFF"/>
        </w:rPr>
        <w:t>部门整体支出</w:t>
      </w:r>
    </w:p>
    <w:p w14:paraId="6072B9B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sz w:val="24"/>
          <w:szCs w:val="24"/>
        </w:rPr>
      </w:pPr>
      <w:r>
        <w:rPr>
          <w:rFonts w:hint="eastAsia" w:ascii="方正小标宋_GBK" w:hAnsi="方正小标宋_GBK" w:eastAsia="方正小标宋_GBK" w:cs="方正小标宋_GBK"/>
          <w:i w:val="0"/>
          <w:iCs w:val="0"/>
          <w:caps w:val="0"/>
          <w:color w:val="000000"/>
          <w:spacing w:val="0"/>
          <w:sz w:val="44"/>
          <w:szCs w:val="44"/>
          <w:shd w:val="clear" w:fill="FFFFFF"/>
        </w:rPr>
        <w:t>绩效自评报告</w:t>
      </w:r>
    </w:p>
    <w:p w14:paraId="03F6190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p>
    <w:p w14:paraId="1175AB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一、部门、单位基本情况</w:t>
      </w:r>
    </w:p>
    <w:p w14:paraId="1E23F1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（一）机构设置情况</w:t>
      </w:r>
    </w:p>
    <w:p w14:paraId="2304C3A4">
      <w:pPr>
        <w:keepNext w:val="0"/>
        <w:keepLines w:val="0"/>
        <w:widowControl/>
        <w:suppressLineNumbers w:val="0"/>
        <w:ind w:firstLine="640" w:firstLineChars="200"/>
        <w:jc w:val="both"/>
      </w:pPr>
      <w:r>
        <w:rPr>
          <w:rFonts w:ascii="仿宋_GB2312" w:hAnsi="仿宋_GB2312" w:eastAsia="仿宋_GB2312" w:cs="仿宋_GB2312"/>
          <w:color w:val="000000"/>
          <w:kern w:val="0"/>
          <w:sz w:val="32"/>
          <w:szCs w:val="32"/>
          <w:lang w:val="en-US" w:eastAsia="zh-CN" w:bidi="ar"/>
        </w:rPr>
        <w:t xml:space="preserve">县水运事务中心设下列内设机构： </w:t>
      </w:r>
    </w:p>
    <w:p w14:paraId="3473E0D1">
      <w:pPr>
        <w:keepNext w:val="0"/>
        <w:keepLines w:val="0"/>
        <w:widowControl/>
        <w:suppressLineNumbers w:val="0"/>
        <w:ind w:firstLine="640" w:firstLineChars="200"/>
        <w:jc w:val="both"/>
      </w:pPr>
      <w:r>
        <w:rPr>
          <w:rFonts w:hint="eastAsia" w:ascii="楷体_GB2312" w:eastAsia="楷体_GB2312" w:cs="楷体_GB2312"/>
          <w:i w:val="0"/>
          <w:iCs w:val="0"/>
          <w:caps w:val="0"/>
          <w:color w:val="000000"/>
          <w:spacing w:val="0"/>
          <w:kern w:val="0"/>
          <w:sz w:val="32"/>
          <w:szCs w:val="32"/>
          <w:shd w:val="clear" w:fill="FFFFFF"/>
          <w:lang w:val="en-US" w:eastAsia="zh-CN" w:bidi="ar"/>
        </w:rPr>
        <w:t>1.</w:t>
      </w:r>
      <w:r>
        <w:rPr>
          <w:rFonts w:hint="default" w:ascii="楷体_GB2312" w:hAnsi="Times New Roman" w:eastAsia="楷体_GB2312" w:cs="楷体_GB2312"/>
          <w:i w:val="0"/>
          <w:iCs w:val="0"/>
          <w:caps w:val="0"/>
          <w:color w:val="000000"/>
          <w:spacing w:val="0"/>
          <w:kern w:val="0"/>
          <w:sz w:val="32"/>
          <w:szCs w:val="32"/>
          <w:shd w:val="clear" w:fill="FFFFFF"/>
          <w:lang w:val="en-US" w:eastAsia="zh-CN" w:bidi="ar"/>
        </w:rPr>
        <w:t>综合股。</w:t>
      </w:r>
      <w:r>
        <w:rPr>
          <w:rFonts w:ascii="仿宋_GB2312" w:hAnsi="仿宋_GB2312" w:eastAsia="仿宋_GB2312" w:cs="仿宋_GB2312"/>
          <w:color w:val="000000"/>
          <w:kern w:val="0"/>
          <w:sz w:val="32"/>
          <w:szCs w:val="32"/>
          <w:lang w:val="en-US" w:eastAsia="zh-CN" w:bidi="ar"/>
        </w:rPr>
        <w:t xml:space="preserve">协调中心日常工作，负责中心重大事项和决定的督办；负责办公设施管理和办公用品配置、公务接待工作；负责办公场所及固定资产安全、消防、内保和后勤工作；负责办公场所建设计划编报并组织实施；负责水运行业政策法规宣传和普法教育工作；负责中心法律事务性工作；负责财务预算编制、日常财务核算、经费收支及统计上报各类财务报表；负责内部审计监管；负责机构编制、干部人事、劳动工资、年度考核、社会保险、党建等工作；制定职工教育培训规划并组织实施；负责离退休干部职工的管理服务工作。 </w:t>
      </w:r>
    </w:p>
    <w:p w14:paraId="5CAB0410">
      <w:pPr>
        <w:keepNext w:val="0"/>
        <w:keepLines w:val="0"/>
        <w:widowControl/>
        <w:suppressLineNumbers w:val="0"/>
        <w:ind w:firstLine="640" w:firstLineChars="200"/>
        <w:jc w:val="both"/>
      </w:pPr>
      <w:r>
        <w:rPr>
          <w:rFonts w:hint="eastAsia" w:ascii="楷体_GB2312" w:eastAsia="楷体_GB2312" w:cs="楷体_GB2312"/>
          <w:i w:val="0"/>
          <w:iCs w:val="0"/>
          <w:caps w:val="0"/>
          <w:color w:val="000000"/>
          <w:spacing w:val="0"/>
          <w:kern w:val="0"/>
          <w:sz w:val="32"/>
          <w:szCs w:val="32"/>
          <w:shd w:val="clear" w:fill="FFFFFF"/>
          <w:lang w:val="en-US" w:eastAsia="zh-CN" w:bidi="ar"/>
        </w:rPr>
        <w:t>2.</w:t>
      </w:r>
      <w:r>
        <w:rPr>
          <w:rFonts w:hint="default" w:ascii="楷体_GB2312" w:hAnsi="Times New Roman" w:eastAsia="楷体_GB2312" w:cs="楷体_GB2312"/>
          <w:i w:val="0"/>
          <w:iCs w:val="0"/>
          <w:caps w:val="0"/>
          <w:color w:val="000000"/>
          <w:spacing w:val="0"/>
          <w:kern w:val="0"/>
          <w:sz w:val="32"/>
          <w:szCs w:val="32"/>
          <w:shd w:val="clear" w:fill="FFFFFF"/>
          <w:lang w:val="en-US" w:eastAsia="zh-CN" w:bidi="ar"/>
        </w:rPr>
        <w:t>业务股。</w:t>
      </w:r>
      <w:r>
        <w:rPr>
          <w:rFonts w:ascii="仿宋_GB2312" w:hAnsi="仿宋_GB2312" w:eastAsia="仿宋_GB2312" w:cs="仿宋_GB2312"/>
          <w:color w:val="000000"/>
          <w:kern w:val="0"/>
          <w:sz w:val="32"/>
          <w:szCs w:val="32"/>
          <w:lang w:val="en-US" w:eastAsia="zh-CN" w:bidi="ar"/>
        </w:rPr>
        <w:t xml:space="preserve">参与拟订全县水路交通运输发展规划，协助编制港口、航道、水路运输等专项规划；承担开展水路交通项目技术审查及县管项目前期工作及后评估相关事务性工作；承担指导实施主体推进规划实施相关事务性工作；参与拟订水路交通年度建议计划的汇总、初审事务性工作，并承担组织实施、执行情况督查、评估等事务性工作；负责水路交通运输行业统计信息和国防动员潜力调查统计工作；参与指导中、小型水路交通基础设施建设工程相关事务性工作；承担水运行业军民融合相关工作；承担水上交通安全监督指导的事务性工作；承担水上交通通航秩序、通航环境管理的业务指导事务性工作；承担水上交通搜寻救助、沉船沉物打捞、障碍物清除等的技术支撑和业务指导事务性工作；参与调查处理水上交通和船舶污染事故及统计分析相关工作；承担防治船舶及其作业污染水域监管指导的事务性工作；承担船舶和船员管理的相关事务性工作；承担船员、安检员等考试、发证管理事务性工作；承担船舶、船员信用体系建设相关工作；承担船舶（含渔船）、水上设施船用产品检验及检验监督管理和船舶适航管理的事务性工作；负责船舶公正检验；负责船舶检验数据统计等工作。 </w:t>
      </w:r>
    </w:p>
    <w:p w14:paraId="5B1831BC">
      <w:pPr>
        <w:keepNext w:val="0"/>
        <w:keepLines w:val="0"/>
        <w:widowControl/>
        <w:suppressLineNumbers w:val="0"/>
        <w:ind w:firstLine="640" w:firstLineChars="200"/>
        <w:jc w:val="both"/>
        <w:rPr>
          <w:rFonts w:hint="default" w:ascii="楷体_GB2312" w:eastAsia="楷体_GB2312" w:cs="楷体_GB2312"/>
          <w:i w:val="0"/>
          <w:iCs w:val="0"/>
          <w:caps w:val="0"/>
          <w:color w:val="000000"/>
          <w:spacing w:val="0"/>
          <w:sz w:val="32"/>
          <w:szCs w:val="32"/>
          <w:shd w:val="clear" w:fill="FFFFFF"/>
        </w:rPr>
      </w:pPr>
      <w:r>
        <w:rPr>
          <w:rFonts w:hint="eastAsia" w:ascii="楷体_GB2312" w:eastAsia="楷体_GB2312" w:cs="楷体_GB2312"/>
          <w:i w:val="0"/>
          <w:iCs w:val="0"/>
          <w:caps w:val="0"/>
          <w:color w:val="000000"/>
          <w:spacing w:val="0"/>
          <w:kern w:val="0"/>
          <w:sz w:val="32"/>
          <w:szCs w:val="32"/>
          <w:shd w:val="clear" w:fill="FFFFFF"/>
          <w:lang w:val="en-US" w:eastAsia="zh-CN" w:bidi="ar"/>
        </w:rPr>
        <w:t>3.</w:t>
      </w:r>
      <w:r>
        <w:rPr>
          <w:rFonts w:hint="default" w:ascii="楷体_GB2312" w:hAnsi="Times New Roman" w:eastAsia="楷体_GB2312" w:cs="楷体_GB2312"/>
          <w:i w:val="0"/>
          <w:iCs w:val="0"/>
          <w:caps w:val="0"/>
          <w:color w:val="000000"/>
          <w:spacing w:val="0"/>
          <w:kern w:val="0"/>
          <w:sz w:val="32"/>
          <w:szCs w:val="32"/>
          <w:shd w:val="clear" w:fill="FFFFFF"/>
          <w:lang w:val="en-US" w:eastAsia="zh-CN" w:bidi="ar"/>
        </w:rPr>
        <w:t>监控事务股。</w:t>
      </w:r>
      <w:r>
        <w:rPr>
          <w:rFonts w:ascii="仿宋_GB2312" w:hAnsi="仿宋_GB2312" w:eastAsia="仿宋_GB2312" w:cs="仿宋_GB2312"/>
          <w:color w:val="000000"/>
          <w:kern w:val="0"/>
          <w:sz w:val="32"/>
          <w:szCs w:val="32"/>
          <w:lang w:val="en-US" w:eastAsia="zh-CN" w:bidi="ar"/>
        </w:rPr>
        <w:t xml:space="preserve">负责应用监控系统对辖区内水上交通安全进行全天 24 小时值班监控，对发现的违法违规行为、安全隐患、重大隐情及水上交通事故及时报告，妥善处置事务性工作；负责辖区内监控记录数据的归类统计、整理、上报、存档等工作；负责接受辖区内航道、水文、天气等信息，并及时告知各相关单位或人员。 </w:t>
      </w:r>
    </w:p>
    <w:p w14:paraId="20CD01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（二）人员编制情况</w:t>
      </w:r>
    </w:p>
    <w:p w14:paraId="2B3CFAC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楷体_GB2312" w:eastAsia="楷体_GB2312" w:cs="楷体_GB2312"/>
          <w:i w:val="0"/>
          <w:iCs w:val="0"/>
          <w:caps w:val="0"/>
          <w:color w:val="000000"/>
          <w:spacing w:val="0"/>
          <w:sz w:val="32"/>
          <w:szCs w:val="32"/>
          <w:shd w:val="clear" w:fill="FFFFFF"/>
        </w:rPr>
      </w:pPr>
      <w:r>
        <w:rPr>
          <w:rFonts w:hint="eastAsia" w:ascii="仿宋" w:hAnsi="仿宋" w:eastAsia="仿宋"/>
          <w:sz w:val="32"/>
          <w:szCs w:val="32"/>
        </w:rPr>
        <w:t>县水运事务中心核定事业编制5名。核定主任</w:t>
      </w:r>
      <w:r>
        <w:rPr>
          <w:rFonts w:ascii="仿宋" w:hAnsi="仿宋" w:eastAsia="仿宋"/>
          <w:sz w:val="32"/>
          <w:szCs w:val="32"/>
        </w:rPr>
        <w:t>1</w:t>
      </w:r>
      <w:r>
        <w:rPr>
          <w:rFonts w:hint="eastAsia" w:ascii="仿宋" w:hAnsi="仿宋" w:eastAsia="仿宋"/>
          <w:sz w:val="32"/>
          <w:szCs w:val="32"/>
        </w:rPr>
        <w:t>名、副主任1名。</w:t>
      </w:r>
      <w:r>
        <w:rPr>
          <w:rFonts w:hint="eastAsia" w:ascii="仿宋" w:hAnsi="仿宋" w:eastAsia="仿宋"/>
          <w:sz w:val="32"/>
          <w:szCs w:val="32"/>
          <w:lang w:val="en-US" w:eastAsia="zh-CN"/>
        </w:rPr>
        <w:t>现有工作人员4人。</w:t>
      </w:r>
    </w:p>
    <w:p w14:paraId="57E71D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（三）主要职能职责</w:t>
      </w:r>
    </w:p>
    <w:p w14:paraId="68ABC739">
      <w:pPr>
        <w:keepNext w:val="0"/>
        <w:keepLines w:val="0"/>
        <w:widowControl/>
        <w:suppressLineNumbers w:val="0"/>
        <w:ind w:firstLine="640" w:firstLineChars="200"/>
        <w:jc w:val="both"/>
      </w:pPr>
      <w:r>
        <w:rPr>
          <w:rFonts w:ascii="仿宋_GB2312" w:hAnsi="仿宋_GB2312" w:eastAsia="仿宋_GB2312" w:cs="仿宋_GB2312"/>
          <w:color w:val="000000"/>
          <w:kern w:val="0"/>
          <w:sz w:val="32"/>
          <w:szCs w:val="32"/>
          <w:lang w:val="en-US" w:eastAsia="zh-CN" w:bidi="ar"/>
        </w:rPr>
        <w:t xml:space="preserve">城步苗族自治县水运事务中心的主要职责是： </w:t>
      </w:r>
    </w:p>
    <w:p w14:paraId="7A64BC15">
      <w:pPr>
        <w:keepNext w:val="0"/>
        <w:keepLines w:val="0"/>
        <w:widowControl/>
        <w:suppressLineNumbers w:val="0"/>
        <w:ind w:firstLine="640" w:firstLineChars="200"/>
        <w:jc w:val="both"/>
      </w:pPr>
      <w:r>
        <w:rPr>
          <w:rFonts w:ascii="仿宋_GB2312" w:hAnsi="仿宋_GB2312" w:eastAsia="仿宋_GB2312" w:cs="仿宋_GB2312"/>
          <w:color w:val="000000"/>
          <w:kern w:val="0"/>
          <w:sz w:val="32"/>
          <w:szCs w:val="32"/>
          <w:lang w:val="en-US" w:eastAsia="zh-CN" w:bidi="ar"/>
        </w:rPr>
        <w:t xml:space="preserve">县水运事务中心贯彻落实党中央关于水路交通运输工作的方针政策和决策部署，全面落实省委、市委和县委关于水路交通运输工作的部署要求，在履行职责过程中坚持和加强党对水路交通运输工作的集中统一领导。其主要职责是： </w:t>
      </w:r>
    </w:p>
    <w:p w14:paraId="1A782B20">
      <w:pPr>
        <w:keepNext w:val="0"/>
        <w:keepLines w:val="0"/>
        <w:widowControl/>
        <w:suppressLineNumbers w:val="0"/>
        <w:ind w:firstLine="640" w:firstLineChars="200"/>
        <w:jc w:val="both"/>
      </w:pPr>
      <w:r>
        <w:rPr>
          <w:rFonts w:ascii="仿宋_GB2312" w:hAnsi="仿宋_GB2312" w:eastAsia="仿宋_GB2312" w:cs="仿宋_GB2312"/>
          <w:color w:val="000000"/>
          <w:kern w:val="0"/>
          <w:sz w:val="32"/>
          <w:szCs w:val="32"/>
          <w:lang w:val="en-US" w:eastAsia="zh-CN" w:bidi="ar"/>
        </w:rPr>
        <w:t xml:space="preserve">（一）参与编制水路交通运输发展规划相关事务性工作；协助做好编制港口、航道、水路运输等专项规划相关事务性工作；协助开展水路交通项目技术审查及市管项目前期工作及后评估的事务性工作；负责指导实施主体推进规划实施。 </w:t>
      </w:r>
    </w:p>
    <w:p w14:paraId="0651BAEC">
      <w:pPr>
        <w:keepNext w:val="0"/>
        <w:keepLines w:val="0"/>
        <w:widowControl/>
        <w:suppressLineNumbers w:val="0"/>
        <w:ind w:firstLine="640" w:firstLineChars="200"/>
        <w:jc w:val="both"/>
      </w:pPr>
      <w:r>
        <w:rPr>
          <w:rFonts w:ascii="仿宋_GB2312" w:hAnsi="仿宋_GB2312" w:eastAsia="仿宋_GB2312" w:cs="仿宋_GB2312"/>
          <w:color w:val="000000"/>
          <w:kern w:val="0"/>
          <w:sz w:val="32"/>
          <w:szCs w:val="32"/>
          <w:lang w:val="en-US" w:eastAsia="zh-CN" w:bidi="ar"/>
        </w:rPr>
        <w:t xml:space="preserve">（二）参与全县水路交通运输年度建设计划及航道养护计划汇总、审核相关事务性工作；承担组织实施、执行情况督查、评估等相关事务性工作；参与组织实施权限内的水运基础设施建设工程，并协助指导水路交通基础设施建设工程；负责水路交通运输行业统计信息工作。 </w:t>
      </w:r>
    </w:p>
    <w:p w14:paraId="71652A76">
      <w:pPr>
        <w:keepNext w:val="0"/>
        <w:keepLines w:val="0"/>
        <w:widowControl/>
        <w:suppressLineNumbers w:val="0"/>
        <w:ind w:firstLine="640" w:firstLineChars="200"/>
        <w:jc w:val="both"/>
      </w:pPr>
      <w:r>
        <w:rPr>
          <w:rFonts w:ascii="仿宋_GB2312" w:hAnsi="仿宋_GB2312" w:eastAsia="仿宋_GB2312" w:cs="仿宋_GB2312"/>
          <w:color w:val="000000"/>
          <w:kern w:val="0"/>
          <w:sz w:val="32"/>
          <w:szCs w:val="32"/>
          <w:lang w:val="en-US" w:eastAsia="zh-CN" w:bidi="ar"/>
        </w:rPr>
        <w:t xml:space="preserve">（三）负责指导水路交通运输行业安全生产监督和应急处置的相关事务性工作；承担防治船舶、港口及其作业污染水域监管的事务性工作；承担水上交通通航秩序、通航环境管理的业务指导工作；按规定承担水上水下施工作业(含使用岸线)碍航性审核和监督检查的事务性工作；承担水上交通搜寻救助、沉船沉物打捞等的技术支撑和业务指导工作；按规定参与调查处理水上交通和船舶、港口污染事故及统计分析相关工作；负责市区水上交通安全监督的事务性工作；负责对全县重要水域、重点船舶进行视频监控；负责收集、整理和及时处理水上交通安全动态信息；负责水上突发事件预警信息的评估和报告，做好相关情况的报送、请示和传达工作。 </w:t>
      </w:r>
    </w:p>
    <w:p w14:paraId="41281FBF">
      <w:pPr>
        <w:keepNext w:val="0"/>
        <w:keepLines w:val="0"/>
        <w:widowControl/>
        <w:suppressLineNumbers w:val="0"/>
        <w:ind w:firstLine="640" w:firstLineChars="200"/>
        <w:jc w:val="both"/>
      </w:pPr>
      <w:r>
        <w:rPr>
          <w:rFonts w:ascii="仿宋_GB2312" w:hAnsi="仿宋_GB2312" w:eastAsia="仿宋_GB2312" w:cs="仿宋_GB2312"/>
          <w:color w:val="000000"/>
          <w:kern w:val="0"/>
          <w:sz w:val="32"/>
          <w:szCs w:val="32"/>
          <w:lang w:val="en-US" w:eastAsia="zh-CN" w:bidi="ar"/>
        </w:rPr>
        <w:t xml:space="preserve">（四）承担船舶和船员管理的事务性工作。负责权限内船员的考试、发证和管理的事务性工作。 </w:t>
      </w:r>
    </w:p>
    <w:p w14:paraId="0654C0EF">
      <w:pPr>
        <w:keepNext w:val="0"/>
        <w:keepLines w:val="0"/>
        <w:widowControl/>
        <w:suppressLineNumbers w:val="0"/>
        <w:ind w:firstLine="640" w:firstLineChars="200"/>
        <w:jc w:val="both"/>
      </w:pPr>
      <w:r>
        <w:rPr>
          <w:rFonts w:ascii="仿宋_GB2312" w:hAnsi="仿宋_GB2312" w:eastAsia="仿宋_GB2312" w:cs="仿宋_GB2312"/>
          <w:color w:val="000000"/>
          <w:kern w:val="0"/>
          <w:sz w:val="32"/>
          <w:szCs w:val="32"/>
          <w:lang w:val="en-US" w:eastAsia="zh-CN" w:bidi="ar"/>
        </w:rPr>
        <w:t xml:space="preserve">（五）按规定权限承担船舶（含渔船）、水上设施、船用产品检验的相关事务性工作；承担权限内的船舶技术文件和图纸审查的事务性工作；参与水上事故相关船舶技术分析和调查。 </w:t>
      </w:r>
    </w:p>
    <w:p w14:paraId="563F3F48">
      <w:pPr>
        <w:keepNext w:val="0"/>
        <w:keepLines w:val="0"/>
        <w:widowControl/>
        <w:suppressLineNumbers w:val="0"/>
        <w:ind w:firstLine="640" w:firstLineChars="200"/>
        <w:jc w:val="both"/>
      </w:pPr>
      <w:r>
        <w:rPr>
          <w:rFonts w:ascii="仿宋_GB2312" w:hAnsi="仿宋_GB2312" w:eastAsia="仿宋_GB2312" w:cs="仿宋_GB2312"/>
          <w:color w:val="000000"/>
          <w:kern w:val="0"/>
          <w:sz w:val="32"/>
          <w:szCs w:val="32"/>
          <w:lang w:val="en-US" w:eastAsia="zh-CN" w:bidi="ar"/>
        </w:rPr>
        <w:t xml:space="preserve">（六）承担水路运输及运输服务市场、港口装卸搬运市场行业管理相关事务性工作；承担推进水路运输结构调整和港航物流发展等事务性工作；承担港口及岸线管理相关事务性工作。 </w:t>
      </w:r>
    </w:p>
    <w:p w14:paraId="37BF1DFF">
      <w:pPr>
        <w:keepNext w:val="0"/>
        <w:keepLines w:val="0"/>
        <w:widowControl/>
        <w:suppressLineNumbers w:val="0"/>
        <w:ind w:firstLine="640" w:firstLineChars="200"/>
        <w:jc w:val="both"/>
        <w:rPr>
          <w:rFonts w:ascii="仿宋_GB2312" w:hAnsi="仿宋_GB2312" w:eastAsia="仿宋_GB2312" w:cs="仿宋_GB2312"/>
          <w:color w:val="000000"/>
          <w:kern w:val="0"/>
          <w:sz w:val="32"/>
          <w:szCs w:val="32"/>
          <w:lang w:val="en-US" w:eastAsia="zh-CN" w:bidi="ar"/>
        </w:rPr>
      </w:pPr>
      <w:r>
        <w:rPr>
          <w:rFonts w:ascii="仿宋_GB2312" w:hAnsi="仿宋_GB2312" w:eastAsia="仿宋_GB2312" w:cs="仿宋_GB2312"/>
          <w:color w:val="000000"/>
          <w:kern w:val="0"/>
          <w:sz w:val="32"/>
          <w:szCs w:val="32"/>
          <w:lang w:val="en-US" w:eastAsia="zh-CN" w:bidi="ar"/>
        </w:rPr>
        <w:t>（七）负责全县航道行业管理的事务性工作；负责管理维护所辖航道；按规定负责航道通航条件影响评价审核的初审事务性工作；参与协调水资源综合利用事务性工作。</w:t>
      </w:r>
    </w:p>
    <w:p w14:paraId="2ECF83E2">
      <w:pPr>
        <w:keepNext w:val="0"/>
        <w:keepLines w:val="0"/>
        <w:widowControl/>
        <w:suppressLineNumbers w:val="0"/>
        <w:ind w:firstLine="640" w:firstLineChars="200"/>
        <w:jc w:val="both"/>
      </w:pPr>
      <w:r>
        <w:rPr>
          <w:rFonts w:ascii="仿宋_GB2312" w:hAnsi="仿宋_GB2312" w:eastAsia="仿宋_GB2312" w:cs="仿宋_GB2312"/>
          <w:color w:val="000000"/>
          <w:kern w:val="0"/>
          <w:sz w:val="32"/>
          <w:szCs w:val="32"/>
          <w:lang w:val="en-US" w:eastAsia="zh-CN" w:bidi="ar"/>
        </w:rPr>
        <w:t xml:space="preserve">（八）负责指导推进水路交通运输科技创新、推广应用和节能减排等事务性工作；承担推进水路运输行业绿色发展、军民融合的事务性工作。 </w:t>
      </w:r>
    </w:p>
    <w:p w14:paraId="2B8B246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楷体_GB2312" w:eastAsia="楷体_GB2312" w:cs="楷体_GB2312"/>
          <w:i w:val="0"/>
          <w:iCs w:val="0"/>
          <w:caps w:val="0"/>
          <w:color w:val="000000"/>
          <w:spacing w:val="0"/>
          <w:sz w:val="32"/>
          <w:szCs w:val="32"/>
          <w:shd w:val="clear" w:fill="FFFFFF"/>
        </w:rPr>
      </w:pPr>
      <w:r>
        <w:rPr>
          <w:rFonts w:ascii="仿宋_GB2312" w:hAnsi="仿宋_GB2312" w:eastAsia="仿宋_GB2312" w:cs="仿宋_GB2312"/>
          <w:color w:val="000000"/>
          <w:kern w:val="0"/>
          <w:sz w:val="32"/>
          <w:szCs w:val="32"/>
          <w:lang w:val="en-US" w:eastAsia="zh-CN" w:bidi="ar"/>
        </w:rPr>
        <w:t>（九）承担县交通运输局交办的其他工作。</w:t>
      </w:r>
    </w:p>
    <w:p w14:paraId="5B30AF3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楷体_GB2312" w:eastAsia="楷体_GB2312" w:cs="楷体_GB2312"/>
          <w:i w:val="0"/>
          <w:iCs w:val="0"/>
          <w:caps w:val="0"/>
          <w:color w:val="000000"/>
          <w:spacing w:val="0"/>
          <w:sz w:val="32"/>
          <w:szCs w:val="32"/>
        </w:rPr>
      </w:pPr>
      <w:r>
        <w:rPr>
          <w:rFonts w:hint="default" w:ascii="楷体_GB2312" w:eastAsia="楷体_GB2312" w:cs="楷体_GB2312"/>
          <w:i w:val="0"/>
          <w:iCs w:val="0"/>
          <w:caps w:val="0"/>
          <w:color w:val="000000"/>
          <w:spacing w:val="0"/>
          <w:sz w:val="32"/>
          <w:szCs w:val="32"/>
          <w:shd w:val="clear" w:fill="FFFFFF"/>
        </w:rPr>
        <w:t>（四）绩效目标设定情况</w:t>
      </w:r>
    </w:p>
    <w:p w14:paraId="79ADC3FC">
      <w:pPr>
        <w:keepNext w:val="0"/>
        <w:keepLines w:val="0"/>
        <w:pageBreakBefore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二、部门整体支出管理及使用情况</w:t>
      </w:r>
    </w:p>
    <w:p w14:paraId="6E0679DA">
      <w:pPr>
        <w:pStyle w:val="5"/>
        <w:widowControl/>
        <w:spacing w:line="600" w:lineRule="exact"/>
        <w:ind w:left="640" w:firstLine="0" w:firstLineChars="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w:t>
      </w:r>
      <w:r>
        <w:rPr>
          <w:rFonts w:hint="eastAsia" w:eastAsia="楷体_GB2312" w:cs="Times New Roman"/>
          <w:sz w:val="32"/>
          <w:szCs w:val="32"/>
          <w:lang w:eastAsia="zh-CN"/>
        </w:rPr>
        <w:t>部门</w:t>
      </w:r>
      <w:r>
        <w:rPr>
          <w:rFonts w:hint="default" w:ascii="Times New Roman" w:hAnsi="Times New Roman" w:eastAsia="楷体_GB2312" w:cs="Times New Roman"/>
          <w:sz w:val="32"/>
          <w:szCs w:val="32"/>
        </w:rPr>
        <w:t>预决算情况</w:t>
      </w:r>
    </w:p>
    <w:p w14:paraId="56D21091">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1.部门预算情况</w:t>
      </w:r>
    </w:p>
    <w:p w14:paraId="597901BF">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w:t>
      </w:r>
      <w:r>
        <w:rPr>
          <w:rFonts w:hint="eastAsia" w:cs="Times New Roman"/>
          <w:sz w:val="32"/>
          <w:szCs w:val="32"/>
          <w:lang w:val="en-US" w:eastAsia="zh-CN"/>
        </w:rPr>
        <w:t>4</w:t>
      </w:r>
      <w:r>
        <w:rPr>
          <w:rFonts w:hint="default" w:ascii="Times New Roman" w:hAnsi="Times New Roman" w:eastAsia="仿宋_GB2312" w:cs="Times New Roman"/>
          <w:sz w:val="32"/>
          <w:szCs w:val="32"/>
          <w:lang w:eastAsia="zh-CN"/>
        </w:rPr>
        <w:t>年年初预算安排收入</w:t>
      </w:r>
      <w:r>
        <w:rPr>
          <w:rFonts w:hint="eastAsia" w:cs="Times New Roman"/>
          <w:sz w:val="32"/>
          <w:szCs w:val="32"/>
          <w:lang w:val="en-US" w:eastAsia="zh-CN"/>
        </w:rPr>
        <w:t>69.41</w:t>
      </w:r>
      <w:r>
        <w:rPr>
          <w:rFonts w:hint="default" w:ascii="Times New Roman" w:hAnsi="Times New Roman" w:eastAsia="仿宋_GB2312" w:cs="Times New Roman"/>
          <w:sz w:val="32"/>
          <w:szCs w:val="32"/>
          <w:lang w:eastAsia="zh-CN"/>
        </w:rPr>
        <w:t>万元，其中一般公共财政拨款</w:t>
      </w:r>
      <w:r>
        <w:rPr>
          <w:rFonts w:hint="eastAsia" w:cs="Times New Roman"/>
          <w:sz w:val="32"/>
          <w:szCs w:val="32"/>
          <w:lang w:val="en-US" w:eastAsia="zh-CN"/>
        </w:rPr>
        <w:t>69.41</w:t>
      </w:r>
      <w:r>
        <w:rPr>
          <w:rFonts w:hint="default" w:ascii="Times New Roman" w:hAnsi="Times New Roman" w:eastAsia="仿宋_GB2312" w:cs="Times New Roman"/>
          <w:sz w:val="32"/>
          <w:szCs w:val="32"/>
          <w:lang w:eastAsia="zh-CN"/>
        </w:rPr>
        <w:t>万元；202</w:t>
      </w:r>
      <w:r>
        <w:rPr>
          <w:rFonts w:hint="eastAsia" w:cs="Times New Roman"/>
          <w:sz w:val="32"/>
          <w:szCs w:val="32"/>
          <w:lang w:val="en-US" w:eastAsia="zh-CN"/>
        </w:rPr>
        <w:t>4</w:t>
      </w:r>
      <w:r>
        <w:rPr>
          <w:rFonts w:hint="default" w:ascii="Times New Roman" w:hAnsi="Times New Roman" w:eastAsia="仿宋_GB2312" w:cs="Times New Roman"/>
          <w:sz w:val="32"/>
          <w:szCs w:val="32"/>
          <w:lang w:eastAsia="zh-CN"/>
        </w:rPr>
        <w:t>年年初预算安排支出</w:t>
      </w:r>
      <w:r>
        <w:rPr>
          <w:rFonts w:hint="eastAsia" w:cs="Times New Roman"/>
          <w:sz w:val="32"/>
          <w:szCs w:val="32"/>
          <w:lang w:val="en-US" w:eastAsia="zh-CN"/>
        </w:rPr>
        <w:t>69.41</w:t>
      </w:r>
      <w:r>
        <w:rPr>
          <w:rFonts w:hint="default" w:ascii="Times New Roman" w:hAnsi="Times New Roman" w:eastAsia="仿宋_GB2312" w:cs="Times New Roman"/>
          <w:sz w:val="32"/>
          <w:szCs w:val="32"/>
          <w:lang w:eastAsia="zh-CN"/>
        </w:rPr>
        <w:t>万元，其中：基本支出</w:t>
      </w:r>
      <w:r>
        <w:rPr>
          <w:rFonts w:hint="eastAsia" w:cs="Times New Roman"/>
          <w:sz w:val="32"/>
          <w:szCs w:val="32"/>
          <w:lang w:val="en-US" w:eastAsia="zh-CN"/>
        </w:rPr>
        <w:t>39.81</w:t>
      </w:r>
      <w:r>
        <w:rPr>
          <w:rFonts w:hint="default" w:ascii="Times New Roman" w:hAnsi="Times New Roman" w:eastAsia="仿宋_GB2312" w:cs="Times New Roman"/>
          <w:sz w:val="32"/>
          <w:szCs w:val="32"/>
          <w:lang w:eastAsia="zh-CN"/>
        </w:rPr>
        <w:t>万元，项目支出</w:t>
      </w:r>
      <w:r>
        <w:rPr>
          <w:rFonts w:hint="eastAsia" w:cs="Times New Roman"/>
          <w:sz w:val="32"/>
          <w:szCs w:val="32"/>
          <w:lang w:val="en-US" w:eastAsia="zh-CN"/>
        </w:rPr>
        <w:t>29.60</w:t>
      </w:r>
      <w:r>
        <w:rPr>
          <w:rFonts w:hint="default" w:ascii="Times New Roman" w:hAnsi="Times New Roman" w:eastAsia="仿宋_GB2312" w:cs="Times New Roman"/>
          <w:sz w:val="32"/>
          <w:szCs w:val="32"/>
          <w:lang w:eastAsia="zh-CN"/>
        </w:rPr>
        <w:t>万元。</w:t>
      </w:r>
    </w:p>
    <w:p w14:paraId="56397D49">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2.部门决算情况（含年中预算追加情况）</w:t>
      </w:r>
    </w:p>
    <w:p w14:paraId="338263E0">
      <w:pPr>
        <w:spacing w:line="600" w:lineRule="exact"/>
        <w:ind w:firstLine="640" w:firstLineChars="200"/>
        <w:rPr>
          <w:rFonts w:hint="default" w:ascii="Times New Roman" w:hAnsi="Times New Roman" w:eastAsia="仿宋_GB2312" w:cs="Times New Roman"/>
          <w:color w:val="auto"/>
          <w:sz w:val="32"/>
          <w:szCs w:val="32"/>
          <w:lang w:eastAsia="zh-CN"/>
        </w:rPr>
      </w:pPr>
      <w:r>
        <w:rPr>
          <w:rFonts w:hint="eastAsia" w:cs="Times New Roman"/>
          <w:color w:val="auto"/>
          <w:sz w:val="32"/>
          <w:szCs w:val="32"/>
          <w:lang w:eastAsia="zh-CN"/>
        </w:rPr>
        <w:t>2024</w:t>
      </w:r>
      <w:r>
        <w:rPr>
          <w:rFonts w:hint="default" w:ascii="Times New Roman" w:hAnsi="Times New Roman" w:eastAsia="仿宋_GB2312" w:cs="Times New Roman"/>
          <w:color w:val="auto"/>
          <w:sz w:val="32"/>
          <w:szCs w:val="32"/>
          <w:lang w:eastAsia="zh-CN"/>
        </w:rPr>
        <w:t>年决算总收入</w:t>
      </w:r>
      <w:r>
        <w:rPr>
          <w:rFonts w:hint="eastAsia" w:cs="Times New Roman"/>
          <w:color w:val="auto"/>
          <w:sz w:val="32"/>
          <w:szCs w:val="32"/>
          <w:lang w:val="en-US" w:eastAsia="zh-CN"/>
        </w:rPr>
        <w:t>89.47</w:t>
      </w:r>
      <w:r>
        <w:rPr>
          <w:rFonts w:hint="default" w:ascii="Times New Roman" w:hAnsi="Times New Roman" w:eastAsia="仿宋_GB2312" w:cs="Times New Roman"/>
          <w:color w:val="auto"/>
          <w:sz w:val="32"/>
          <w:szCs w:val="32"/>
          <w:lang w:eastAsia="zh-CN"/>
        </w:rPr>
        <w:t>万元，较预算增加</w:t>
      </w:r>
      <w:r>
        <w:rPr>
          <w:rFonts w:hint="eastAsia" w:cs="Times New Roman"/>
          <w:color w:val="auto"/>
          <w:sz w:val="32"/>
          <w:szCs w:val="32"/>
          <w:lang w:val="en-US" w:eastAsia="zh-CN"/>
        </w:rPr>
        <w:t>20.06</w:t>
      </w:r>
      <w:r>
        <w:rPr>
          <w:rFonts w:hint="default" w:ascii="Times New Roman" w:hAnsi="Times New Roman" w:eastAsia="仿宋_GB2312" w:cs="Times New Roman"/>
          <w:color w:val="auto"/>
          <w:sz w:val="32"/>
          <w:szCs w:val="32"/>
          <w:lang w:eastAsia="zh-CN"/>
        </w:rPr>
        <w:t>万元，总支出</w:t>
      </w:r>
      <w:r>
        <w:rPr>
          <w:rFonts w:hint="eastAsia" w:cs="Times New Roman"/>
          <w:color w:val="auto"/>
          <w:sz w:val="32"/>
          <w:szCs w:val="32"/>
          <w:lang w:val="en-US" w:eastAsia="zh-CN"/>
        </w:rPr>
        <w:t>89.47</w:t>
      </w:r>
      <w:r>
        <w:rPr>
          <w:rFonts w:hint="default" w:ascii="Times New Roman" w:hAnsi="Times New Roman" w:eastAsia="仿宋_GB2312" w:cs="Times New Roman"/>
          <w:color w:val="auto"/>
          <w:sz w:val="32"/>
          <w:szCs w:val="32"/>
          <w:lang w:eastAsia="zh-CN"/>
        </w:rPr>
        <w:t>万元，其中：基本支出</w:t>
      </w:r>
      <w:r>
        <w:rPr>
          <w:rFonts w:hint="eastAsia" w:cs="Times New Roman"/>
          <w:color w:val="auto"/>
          <w:sz w:val="32"/>
          <w:szCs w:val="32"/>
          <w:lang w:val="en-US" w:eastAsia="zh-CN"/>
        </w:rPr>
        <w:t>83.63</w:t>
      </w:r>
      <w:r>
        <w:rPr>
          <w:rFonts w:hint="default" w:ascii="Times New Roman" w:hAnsi="Times New Roman" w:eastAsia="仿宋_GB2312" w:cs="Times New Roman"/>
          <w:color w:val="auto"/>
          <w:sz w:val="32"/>
          <w:szCs w:val="32"/>
          <w:lang w:eastAsia="zh-CN"/>
        </w:rPr>
        <w:t>万元，占总支出的</w:t>
      </w:r>
      <w:r>
        <w:rPr>
          <w:rFonts w:hint="eastAsia" w:cs="Times New Roman"/>
          <w:color w:val="auto"/>
          <w:sz w:val="32"/>
          <w:szCs w:val="32"/>
          <w:lang w:val="en-US" w:eastAsia="zh-CN"/>
        </w:rPr>
        <w:t>93.47</w:t>
      </w:r>
      <w:r>
        <w:rPr>
          <w:rFonts w:hint="default" w:ascii="Times New Roman" w:hAnsi="Times New Roman" w:eastAsia="仿宋_GB2312" w:cs="Times New Roman"/>
          <w:color w:val="auto"/>
          <w:sz w:val="32"/>
          <w:szCs w:val="32"/>
          <w:lang w:eastAsia="zh-CN"/>
        </w:rPr>
        <w:t>％；项目支出</w:t>
      </w:r>
      <w:r>
        <w:rPr>
          <w:rFonts w:hint="eastAsia" w:cs="Times New Roman"/>
          <w:color w:val="auto"/>
          <w:sz w:val="32"/>
          <w:szCs w:val="32"/>
          <w:lang w:val="en-US" w:eastAsia="zh-CN"/>
        </w:rPr>
        <w:t>5.84</w:t>
      </w:r>
      <w:r>
        <w:rPr>
          <w:rFonts w:hint="default" w:ascii="Times New Roman" w:hAnsi="Times New Roman" w:eastAsia="仿宋_GB2312" w:cs="Times New Roman"/>
          <w:color w:val="auto"/>
          <w:sz w:val="32"/>
          <w:szCs w:val="32"/>
          <w:lang w:eastAsia="zh-CN"/>
        </w:rPr>
        <w:t>万元，占总支出的</w:t>
      </w:r>
      <w:r>
        <w:rPr>
          <w:rFonts w:hint="eastAsia" w:cs="Times New Roman"/>
          <w:color w:val="auto"/>
          <w:sz w:val="32"/>
          <w:szCs w:val="32"/>
          <w:lang w:val="en-US" w:eastAsia="zh-CN"/>
        </w:rPr>
        <w:t>6.53</w:t>
      </w:r>
      <w:r>
        <w:rPr>
          <w:rFonts w:hint="default" w:ascii="Times New Roman" w:hAnsi="Times New Roman" w:eastAsia="仿宋_GB2312" w:cs="Times New Roman"/>
          <w:color w:val="auto"/>
          <w:sz w:val="32"/>
          <w:szCs w:val="32"/>
          <w:lang w:eastAsia="zh-CN"/>
        </w:rPr>
        <w:t>％。差异产生的主要原因是</w:t>
      </w:r>
      <w:r>
        <w:rPr>
          <w:rFonts w:hint="eastAsia" w:cs="Times New Roman"/>
          <w:color w:val="auto"/>
          <w:sz w:val="32"/>
          <w:szCs w:val="32"/>
          <w:lang w:eastAsia="zh-CN"/>
        </w:rPr>
        <w:t>追加了人员绩效工资等经费开支</w:t>
      </w:r>
      <w:r>
        <w:rPr>
          <w:rFonts w:hint="default" w:ascii="Times New Roman" w:hAnsi="Times New Roman" w:eastAsia="仿宋_GB2312" w:cs="Times New Roman"/>
          <w:color w:val="auto"/>
          <w:sz w:val="32"/>
          <w:szCs w:val="32"/>
          <w:lang w:eastAsia="zh-CN"/>
        </w:rPr>
        <w:t>。</w:t>
      </w:r>
    </w:p>
    <w:p w14:paraId="1504DA66">
      <w:pPr>
        <w:spacing w:line="600" w:lineRule="exact"/>
        <w:ind w:firstLine="640" w:firstLineChars="200"/>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（二）部门预算执行</w:t>
      </w:r>
      <w:bookmarkStart w:id="0" w:name="_GoBack"/>
      <w:bookmarkEnd w:id="0"/>
      <w:r>
        <w:rPr>
          <w:rFonts w:hint="default" w:ascii="Times New Roman" w:hAnsi="Times New Roman" w:eastAsia="楷体_GB2312" w:cs="Times New Roman"/>
          <w:kern w:val="2"/>
          <w:sz w:val="32"/>
          <w:szCs w:val="32"/>
          <w:lang w:val="en-US" w:eastAsia="zh-CN" w:bidi="ar-SA"/>
        </w:rPr>
        <w:t>情况</w:t>
      </w:r>
    </w:p>
    <w:p w14:paraId="2E97734D">
      <w:pPr>
        <w:spacing w:line="600" w:lineRule="exact"/>
        <w:ind w:firstLine="640" w:firstLineChars="200"/>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经费执行情况</w:t>
      </w:r>
    </w:p>
    <w:p w14:paraId="503F087B">
      <w:pPr>
        <w:spacing w:line="600" w:lineRule="exact"/>
        <w:ind w:firstLine="640" w:firstLineChars="200"/>
        <w:rPr>
          <w:rFonts w:hint="default" w:ascii="Times New Roman" w:hAnsi="Times New Roman" w:eastAsia="仿宋_GB2312" w:cs="Times New Roman"/>
          <w:sz w:val="32"/>
          <w:szCs w:val="32"/>
          <w:lang w:eastAsia="zh-CN"/>
        </w:rPr>
      </w:pPr>
      <w:r>
        <w:rPr>
          <w:rFonts w:hint="eastAsia" w:cs="Times New Roman"/>
          <w:sz w:val="32"/>
          <w:szCs w:val="32"/>
          <w:lang w:eastAsia="zh-CN"/>
        </w:rPr>
        <w:t>2024</w:t>
      </w:r>
      <w:r>
        <w:rPr>
          <w:rFonts w:hint="default" w:ascii="Times New Roman" w:hAnsi="Times New Roman" w:eastAsia="仿宋_GB2312" w:cs="Times New Roman"/>
          <w:sz w:val="32"/>
          <w:szCs w:val="32"/>
          <w:lang w:eastAsia="zh-CN"/>
        </w:rPr>
        <w:t>年“三公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经费预算数</w:t>
      </w:r>
      <w:r>
        <w:rPr>
          <w:rFonts w:hint="eastAsia" w:cs="Times New Roman"/>
          <w:sz w:val="32"/>
          <w:szCs w:val="32"/>
          <w:lang w:val="en-US" w:eastAsia="zh-CN"/>
        </w:rPr>
        <w:t>0.3</w:t>
      </w:r>
      <w:r>
        <w:rPr>
          <w:rFonts w:hint="default" w:ascii="Times New Roman" w:hAnsi="Times New Roman" w:eastAsia="仿宋_GB2312" w:cs="Times New Roman"/>
          <w:sz w:val="32"/>
          <w:szCs w:val="32"/>
          <w:lang w:eastAsia="zh-CN"/>
        </w:rPr>
        <w:t>万元，其中：因公出国（境）费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万元，公务用车购置及运行维护费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万元，公务接待费</w:t>
      </w:r>
      <w:r>
        <w:rPr>
          <w:rFonts w:hint="eastAsia" w:cs="Times New Roman"/>
          <w:sz w:val="32"/>
          <w:szCs w:val="32"/>
          <w:lang w:val="en-US" w:eastAsia="zh-CN"/>
        </w:rPr>
        <w:t>0.3</w:t>
      </w:r>
      <w:r>
        <w:rPr>
          <w:rFonts w:hint="default" w:ascii="Times New Roman" w:hAnsi="Times New Roman" w:eastAsia="仿宋_GB2312" w:cs="Times New Roman"/>
          <w:sz w:val="32"/>
          <w:szCs w:val="32"/>
          <w:lang w:eastAsia="zh-CN"/>
        </w:rPr>
        <w:t>万元。</w:t>
      </w:r>
      <w:r>
        <w:rPr>
          <w:rFonts w:hint="default" w:ascii="Times New Roman" w:hAnsi="Times New Roman" w:eastAsia="仿宋_GB2312" w:cs="Times New Roman"/>
          <w:color w:val="auto"/>
          <w:sz w:val="32"/>
          <w:szCs w:val="32"/>
          <w:lang w:eastAsia="zh-CN"/>
        </w:rPr>
        <w:t>“三公</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经费决算数</w:t>
      </w:r>
      <w:r>
        <w:rPr>
          <w:rFonts w:hint="eastAsia" w:cs="Times New Roman"/>
          <w:color w:val="auto"/>
          <w:sz w:val="32"/>
          <w:szCs w:val="32"/>
          <w:lang w:val="en-US" w:eastAsia="zh-CN"/>
        </w:rPr>
        <w:t>0.2万</w:t>
      </w:r>
      <w:r>
        <w:rPr>
          <w:rFonts w:hint="default" w:ascii="Times New Roman" w:hAnsi="Times New Roman" w:eastAsia="仿宋_GB2312" w:cs="Times New Roman"/>
          <w:color w:val="auto"/>
          <w:sz w:val="32"/>
          <w:szCs w:val="32"/>
          <w:lang w:eastAsia="zh-CN"/>
        </w:rPr>
        <w:t>元，其中：因公出国（境）费</w:t>
      </w:r>
      <w:r>
        <w:rPr>
          <w:rFonts w:hint="eastAsia" w:cs="Times New Roman"/>
          <w:color w:val="auto"/>
          <w:sz w:val="32"/>
          <w:szCs w:val="32"/>
          <w:lang w:val="en-US" w:eastAsia="zh-CN"/>
        </w:rPr>
        <w:t>0</w:t>
      </w:r>
      <w:r>
        <w:rPr>
          <w:rFonts w:hint="default" w:ascii="Times New Roman" w:hAnsi="Times New Roman" w:eastAsia="仿宋_GB2312" w:cs="Times New Roman"/>
          <w:color w:val="auto"/>
          <w:sz w:val="32"/>
          <w:szCs w:val="32"/>
          <w:lang w:eastAsia="zh-CN"/>
        </w:rPr>
        <w:t>万元，公务用车运行维护费</w:t>
      </w:r>
      <w:r>
        <w:rPr>
          <w:rFonts w:hint="eastAsia" w:cs="Times New Roman"/>
          <w:color w:val="auto"/>
          <w:sz w:val="32"/>
          <w:szCs w:val="32"/>
          <w:lang w:val="en-US" w:eastAsia="zh-CN"/>
        </w:rPr>
        <w:t>0</w:t>
      </w:r>
      <w:r>
        <w:rPr>
          <w:rFonts w:hint="default" w:ascii="Times New Roman" w:hAnsi="Times New Roman" w:eastAsia="仿宋_GB2312" w:cs="Times New Roman"/>
          <w:color w:val="auto"/>
          <w:sz w:val="32"/>
          <w:szCs w:val="32"/>
          <w:lang w:eastAsia="zh-CN"/>
        </w:rPr>
        <w:t>万元，公务接待费</w:t>
      </w:r>
      <w:r>
        <w:rPr>
          <w:rFonts w:hint="eastAsia" w:cs="Times New Roman"/>
          <w:color w:val="auto"/>
          <w:sz w:val="32"/>
          <w:szCs w:val="32"/>
          <w:lang w:val="en-US" w:eastAsia="zh-CN"/>
        </w:rPr>
        <w:t>0.2</w:t>
      </w:r>
      <w:r>
        <w:rPr>
          <w:rFonts w:hint="default" w:ascii="Times New Roman" w:hAnsi="Times New Roman" w:eastAsia="仿宋_GB2312" w:cs="Times New Roman"/>
          <w:color w:val="auto"/>
          <w:sz w:val="32"/>
          <w:szCs w:val="32"/>
          <w:lang w:eastAsia="zh-CN"/>
        </w:rPr>
        <w:t>万元。</w:t>
      </w:r>
    </w:p>
    <w:p w14:paraId="0AED0FBF">
      <w:pPr>
        <w:spacing w:line="600" w:lineRule="exact"/>
        <w:ind w:firstLine="640" w:firstLineChars="200"/>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.政府采购执行情况</w:t>
      </w:r>
    </w:p>
    <w:p w14:paraId="1BA92CB7">
      <w:pPr>
        <w:spacing w:line="600" w:lineRule="exact"/>
        <w:ind w:firstLine="640" w:firstLineChars="200"/>
        <w:rPr>
          <w:rFonts w:hint="default" w:ascii="楷体_GB2312" w:eastAsia="楷体_GB2312" w:cs="楷体_GB2312"/>
          <w:i w:val="0"/>
          <w:iCs w:val="0"/>
          <w:caps w:val="0"/>
          <w:color w:val="000000"/>
          <w:spacing w:val="0"/>
          <w:sz w:val="32"/>
          <w:szCs w:val="32"/>
        </w:rPr>
      </w:pPr>
      <w:r>
        <w:rPr>
          <w:rFonts w:hint="eastAsia" w:cs="Times New Roman"/>
          <w:sz w:val="32"/>
          <w:szCs w:val="32"/>
          <w:lang w:eastAsia="zh-CN"/>
        </w:rPr>
        <w:t>2024</w:t>
      </w:r>
      <w:r>
        <w:rPr>
          <w:rFonts w:hint="default" w:ascii="Times New Roman" w:hAnsi="Times New Roman" w:eastAsia="仿宋_GB2312" w:cs="Times New Roman"/>
          <w:sz w:val="32"/>
          <w:szCs w:val="32"/>
          <w:lang w:eastAsia="zh-CN"/>
        </w:rPr>
        <w:t>年度政府采购支出</w:t>
      </w:r>
      <w:r>
        <w:rPr>
          <w:rFonts w:hint="eastAsia" w:cs="Times New Roman"/>
          <w:sz w:val="32"/>
          <w:szCs w:val="32"/>
          <w:lang w:val="en-US" w:eastAsia="zh-CN"/>
        </w:rPr>
        <w:t>9.84</w:t>
      </w:r>
      <w:r>
        <w:rPr>
          <w:rFonts w:hint="default" w:ascii="Times New Roman" w:hAnsi="Times New Roman" w:eastAsia="仿宋_GB2312" w:cs="Times New Roman"/>
          <w:sz w:val="32"/>
          <w:szCs w:val="32"/>
          <w:lang w:eastAsia="zh-CN"/>
        </w:rPr>
        <w:t>万元，其中：货物</w:t>
      </w:r>
      <w:r>
        <w:rPr>
          <w:rFonts w:hint="eastAsia" w:cs="Times New Roman"/>
          <w:sz w:val="32"/>
          <w:szCs w:val="32"/>
          <w:lang w:val="en-US" w:eastAsia="zh-CN"/>
        </w:rPr>
        <w:t>5.98</w:t>
      </w:r>
      <w:r>
        <w:rPr>
          <w:rFonts w:hint="default" w:ascii="Times New Roman" w:hAnsi="Times New Roman" w:eastAsia="仿宋_GB2312" w:cs="Times New Roman"/>
          <w:sz w:val="32"/>
          <w:szCs w:val="32"/>
          <w:lang w:eastAsia="zh-CN"/>
        </w:rPr>
        <w:t>元，工程</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万元，服务</w:t>
      </w:r>
      <w:r>
        <w:rPr>
          <w:rFonts w:hint="eastAsia" w:cs="Times New Roman"/>
          <w:sz w:val="32"/>
          <w:szCs w:val="32"/>
          <w:lang w:val="en-US" w:eastAsia="zh-CN"/>
        </w:rPr>
        <w:t>3.86</w:t>
      </w:r>
      <w:r>
        <w:rPr>
          <w:rFonts w:hint="default" w:ascii="Times New Roman" w:hAnsi="Times New Roman" w:eastAsia="仿宋_GB2312" w:cs="Times New Roman"/>
          <w:sz w:val="32"/>
          <w:szCs w:val="32"/>
          <w:lang w:eastAsia="zh-CN"/>
        </w:rPr>
        <w:t>万元。</w:t>
      </w:r>
    </w:p>
    <w:p w14:paraId="1AF1F55B">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lang w:val="en-US" w:eastAsia="zh-CN"/>
        </w:rPr>
        <w:t>三、</w:t>
      </w:r>
      <w:r>
        <w:rPr>
          <w:rFonts w:hint="eastAsia" w:ascii="黑体" w:hAnsi="黑体" w:eastAsia="黑体" w:cs="黑体"/>
          <w:i w:val="0"/>
          <w:iCs w:val="0"/>
          <w:caps w:val="0"/>
          <w:color w:val="000000"/>
          <w:spacing w:val="0"/>
          <w:sz w:val="32"/>
          <w:szCs w:val="32"/>
          <w:shd w:val="clear" w:fill="FFFFFF"/>
        </w:rPr>
        <w:t>政府性基金预算支出情况</w:t>
      </w:r>
    </w:p>
    <w:p w14:paraId="077E09FF">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eastAsia" w:cs="Times New Roman"/>
          <w:color w:val="auto"/>
          <w:kern w:val="0"/>
          <w:sz w:val="32"/>
          <w:szCs w:val="32"/>
          <w:lang w:val="en-US" w:eastAsia="zh-CN" w:bidi="ar-SA"/>
        </w:rPr>
      </w:pPr>
      <w:r>
        <w:rPr>
          <w:rFonts w:hint="eastAsia" w:cs="Times New Roman"/>
          <w:color w:val="auto"/>
          <w:kern w:val="0"/>
          <w:sz w:val="32"/>
          <w:szCs w:val="32"/>
          <w:lang w:val="en-US" w:eastAsia="zh-CN" w:bidi="ar-SA"/>
        </w:rPr>
        <w:t>无</w:t>
      </w:r>
    </w:p>
    <w:p w14:paraId="3DC6B372">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lang w:val="en-US" w:eastAsia="zh-CN"/>
        </w:rPr>
        <w:t xml:space="preserve">    四、</w:t>
      </w:r>
      <w:r>
        <w:rPr>
          <w:rFonts w:hint="eastAsia" w:ascii="黑体" w:hAnsi="黑体" w:eastAsia="黑体" w:cs="黑体"/>
          <w:i w:val="0"/>
          <w:iCs w:val="0"/>
          <w:caps w:val="0"/>
          <w:color w:val="000000"/>
          <w:spacing w:val="0"/>
          <w:sz w:val="32"/>
          <w:szCs w:val="32"/>
          <w:shd w:val="clear" w:fill="FFFFFF"/>
        </w:rPr>
        <w:t>国有资本经营预算支出情况</w:t>
      </w:r>
    </w:p>
    <w:p w14:paraId="31893CB3">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eastAsia" w:cs="Times New Roman"/>
          <w:color w:val="auto"/>
          <w:kern w:val="0"/>
          <w:sz w:val="32"/>
          <w:szCs w:val="32"/>
          <w:lang w:val="en-US" w:eastAsia="zh-CN" w:bidi="ar-SA"/>
        </w:rPr>
      </w:pPr>
      <w:r>
        <w:rPr>
          <w:rFonts w:hint="eastAsia" w:cs="Times New Roman"/>
          <w:color w:val="auto"/>
          <w:kern w:val="0"/>
          <w:sz w:val="32"/>
          <w:szCs w:val="32"/>
          <w:lang w:val="en-US" w:eastAsia="zh-CN" w:bidi="ar-SA"/>
        </w:rPr>
        <w:t>无</w:t>
      </w:r>
    </w:p>
    <w:p w14:paraId="3C4C393F">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lang w:val="en-US" w:eastAsia="zh-CN"/>
        </w:rPr>
        <w:t>五、</w:t>
      </w:r>
      <w:r>
        <w:rPr>
          <w:rFonts w:hint="eastAsia" w:ascii="黑体" w:hAnsi="黑体" w:eastAsia="黑体" w:cs="黑体"/>
          <w:i w:val="0"/>
          <w:iCs w:val="0"/>
          <w:caps w:val="0"/>
          <w:color w:val="000000"/>
          <w:spacing w:val="0"/>
          <w:sz w:val="32"/>
          <w:szCs w:val="32"/>
          <w:shd w:val="clear" w:fill="FFFFFF"/>
        </w:rPr>
        <w:t>社会保险基金预算支出情况</w:t>
      </w:r>
    </w:p>
    <w:p w14:paraId="62A1B0D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cs="Times New Roman"/>
          <w:color w:val="auto"/>
          <w:kern w:val="0"/>
          <w:sz w:val="32"/>
          <w:szCs w:val="32"/>
          <w:lang w:val="en-US" w:eastAsia="zh-CN" w:bidi="ar-SA"/>
        </w:rPr>
      </w:pPr>
      <w:r>
        <w:rPr>
          <w:rFonts w:hint="eastAsia" w:cs="Times New Roman"/>
          <w:color w:val="auto"/>
          <w:kern w:val="0"/>
          <w:sz w:val="32"/>
          <w:szCs w:val="32"/>
          <w:lang w:val="en-US" w:eastAsia="zh-CN" w:bidi="ar-SA"/>
        </w:rPr>
        <w:t>无</w:t>
      </w:r>
    </w:p>
    <w:p w14:paraId="739F2A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lang w:val="en-US" w:eastAsia="zh-CN"/>
        </w:rPr>
        <w:t>六、</w:t>
      </w:r>
      <w:r>
        <w:rPr>
          <w:rFonts w:hint="eastAsia" w:ascii="黑体" w:hAnsi="黑体" w:eastAsia="黑体" w:cs="黑体"/>
          <w:i w:val="0"/>
          <w:iCs w:val="0"/>
          <w:caps w:val="0"/>
          <w:color w:val="000000"/>
          <w:spacing w:val="0"/>
          <w:sz w:val="32"/>
          <w:szCs w:val="32"/>
          <w:shd w:val="clear" w:fill="FFFFFF"/>
        </w:rPr>
        <w:t>部门整体支出绩效情况</w:t>
      </w:r>
    </w:p>
    <w:p w14:paraId="57FEF33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_GB2312" w:eastAsia="仿宋_GB2312" w:cs="仿宋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（一）综合评价结论。</w:t>
      </w:r>
      <w:r>
        <w:rPr>
          <w:rFonts w:hint="default" w:ascii="仿宋_GB2312" w:eastAsia="仿宋_GB2312" w:cs="仿宋_GB2312"/>
          <w:i w:val="0"/>
          <w:iCs w:val="0"/>
          <w:caps w:val="0"/>
          <w:color w:val="000000"/>
          <w:spacing w:val="0"/>
          <w:sz w:val="32"/>
          <w:szCs w:val="32"/>
          <w:shd w:val="clear" w:fill="FFFFFF"/>
        </w:rPr>
        <w:t>反映自评得分及评价等级。</w:t>
      </w:r>
    </w:p>
    <w:p w14:paraId="28BC102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_GB2312" w:eastAsia="仿宋_GB2312" w:cs="仿宋_GB2312"/>
          <w:i w:val="0"/>
          <w:iCs w:val="0"/>
          <w:caps w:val="0"/>
          <w:color w:val="000000"/>
          <w:spacing w:val="0"/>
          <w:sz w:val="32"/>
          <w:szCs w:val="32"/>
          <w:shd w:val="clear" w:fill="FFFFFF"/>
        </w:rPr>
      </w:pPr>
      <w:r>
        <w:rPr>
          <w:rFonts w:hint="default" w:ascii="仿宋_GB2312" w:eastAsia="仿宋_GB2312" w:cs="仿宋_GB2312"/>
          <w:i w:val="0"/>
          <w:iCs w:val="0"/>
          <w:caps w:val="0"/>
          <w:color w:val="000000"/>
          <w:spacing w:val="0"/>
          <w:sz w:val="32"/>
          <w:szCs w:val="32"/>
          <w:shd w:val="clear" w:fill="FFFFFF"/>
        </w:rPr>
        <w:t>自评得分</w:t>
      </w:r>
      <w:r>
        <w:rPr>
          <w:rFonts w:hint="eastAsia" w:ascii="仿宋_GB2312" w:cs="仿宋_GB2312"/>
          <w:i w:val="0"/>
          <w:iCs w:val="0"/>
          <w:caps w:val="0"/>
          <w:color w:val="000000"/>
          <w:spacing w:val="0"/>
          <w:sz w:val="32"/>
          <w:szCs w:val="32"/>
          <w:shd w:val="clear" w:fill="FFFFFF"/>
          <w:lang w:val="en-US" w:eastAsia="zh-CN"/>
        </w:rPr>
        <w:t>为98分。</w:t>
      </w:r>
    </w:p>
    <w:p w14:paraId="735B6E7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（二）评价指标分析（或综合评价情况）。</w:t>
      </w:r>
    </w:p>
    <w:p w14:paraId="0EC574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eastAsia" w:ascii="仿宋_GB2312" w:hAnsi="仿宋" w:eastAsia="仿宋_GB2312"/>
          <w:sz w:val="32"/>
          <w:szCs w:val="32"/>
          <w:lang w:eastAsia="zh-CN"/>
        </w:rPr>
      </w:pPr>
      <w:r>
        <w:rPr>
          <w:rFonts w:hint="eastAsia" w:ascii="仿宋_GB2312" w:hAnsi="仿宋" w:eastAsia="仿宋_GB2312"/>
          <w:sz w:val="32"/>
          <w:szCs w:val="32"/>
          <w:lang w:eastAsia="zh-CN"/>
        </w:rPr>
        <w:t>1</w:t>
      </w:r>
      <w:r>
        <w:rPr>
          <w:rFonts w:hint="eastAsia" w:ascii="仿宋_GB2312" w:hAnsi="仿宋"/>
          <w:sz w:val="32"/>
          <w:szCs w:val="32"/>
          <w:lang w:val="en-US" w:eastAsia="zh-CN"/>
        </w:rPr>
        <w:t>.</w:t>
      </w:r>
      <w:r>
        <w:rPr>
          <w:rFonts w:hint="eastAsia" w:ascii="仿宋_GB2312" w:hAnsi="仿宋" w:eastAsia="仿宋_GB2312"/>
          <w:sz w:val="32"/>
          <w:szCs w:val="32"/>
          <w:lang w:eastAsia="zh-CN"/>
        </w:rPr>
        <w:t>加大安全监管力度，杜绝发生重特大恶性水上交通事故，确保我县水上交通安全稳定、旅游事业健康发展。</w:t>
      </w:r>
    </w:p>
    <w:p w14:paraId="0BE23DF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default" w:ascii="楷体_GB2312" w:eastAsia="楷体_GB2312" w:cs="楷体_GB2312"/>
          <w:i w:val="0"/>
          <w:iCs w:val="0"/>
          <w:caps w:val="0"/>
          <w:color w:val="000000"/>
          <w:spacing w:val="0"/>
          <w:sz w:val="32"/>
          <w:szCs w:val="32"/>
          <w:shd w:val="clear" w:fill="FFFFFF"/>
        </w:rPr>
      </w:pPr>
      <w:r>
        <w:rPr>
          <w:rFonts w:hint="eastAsia" w:ascii="仿宋_GB2312" w:hAnsi="仿宋" w:eastAsia="仿宋_GB2312"/>
          <w:sz w:val="32"/>
          <w:szCs w:val="32"/>
          <w:lang w:eastAsia="zh-CN"/>
        </w:rPr>
        <w:t>2</w:t>
      </w:r>
      <w:r>
        <w:rPr>
          <w:rFonts w:hint="eastAsia" w:ascii="仿宋_GB2312" w:hAnsi="仿宋"/>
          <w:sz w:val="32"/>
          <w:szCs w:val="32"/>
          <w:lang w:val="en-US" w:eastAsia="zh-CN"/>
        </w:rPr>
        <w:t>.</w:t>
      </w:r>
      <w:r>
        <w:rPr>
          <w:rFonts w:hint="eastAsia" w:ascii="仿宋_GB2312" w:hAnsi="仿宋" w:eastAsia="仿宋_GB2312"/>
          <w:sz w:val="32"/>
          <w:szCs w:val="32"/>
          <w:lang w:eastAsia="zh-CN"/>
        </w:rPr>
        <w:t>突出“重点水域、重点渡口、重点船舶、重点时段”的安全监控，扎实开展“春运”、“五一”、 “十一”等期间水上交通安全监管和“打非治违”专项工作，强化现场监督管理，落实安全管理责任，认真做好各项业务管理工作。</w:t>
      </w:r>
    </w:p>
    <w:p w14:paraId="24ADF55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七、存在的问题及原因分析</w:t>
      </w:r>
    </w:p>
    <w:p w14:paraId="79385DD6">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Times New Roman" w:eastAsia="仿宋_GB2312" w:cs="仿宋_GB2312"/>
          <w:i w:val="0"/>
          <w:iCs w:val="0"/>
          <w:caps w:val="0"/>
          <w:color w:val="000000"/>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000000"/>
          <w:spacing w:val="0"/>
          <w:kern w:val="0"/>
          <w:sz w:val="32"/>
          <w:szCs w:val="32"/>
          <w:shd w:val="clear" w:fill="FFFFFF"/>
          <w:lang w:val="en-US" w:eastAsia="zh-CN" w:bidi="ar"/>
        </w:rPr>
        <w:t>水运事务中心管理人员力量薄弱、均身兼多职致工作效率和质量不高</w:t>
      </w:r>
      <w:r>
        <w:rPr>
          <w:rFonts w:hint="eastAsia" w:ascii="仿宋_GB2312" w:cs="仿宋_GB2312"/>
          <w:i w:val="0"/>
          <w:iCs w:val="0"/>
          <w:caps w:val="0"/>
          <w:color w:val="000000"/>
          <w:spacing w:val="0"/>
          <w:kern w:val="0"/>
          <w:sz w:val="32"/>
          <w:szCs w:val="32"/>
          <w:shd w:val="clear" w:fill="FFFFFF"/>
          <w:lang w:val="en-US" w:eastAsia="zh-CN" w:bidi="ar"/>
        </w:rPr>
        <w:t>。</w:t>
      </w:r>
    </w:p>
    <w:p w14:paraId="311235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八、下一步改进措施</w:t>
      </w:r>
    </w:p>
    <w:p w14:paraId="0FB5B5EB">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i w:val="0"/>
          <w:iCs w:val="0"/>
          <w:caps w:val="0"/>
          <w:color w:val="000000"/>
          <w:spacing w:val="0"/>
          <w:sz w:val="32"/>
          <w:szCs w:val="32"/>
          <w:shd w:val="clear" w:fill="FFFFFF"/>
        </w:rPr>
      </w:pPr>
      <w:r>
        <w:rPr>
          <w:rFonts w:hint="eastAsia" w:ascii="仿宋_GB2312" w:hAnsi="Times New Roman" w:eastAsia="仿宋_GB2312" w:cs="仿宋_GB2312"/>
          <w:i w:val="0"/>
          <w:iCs w:val="0"/>
          <w:caps w:val="0"/>
          <w:color w:val="000000"/>
          <w:spacing w:val="0"/>
          <w:kern w:val="0"/>
          <w:sz w:val="32"/>
          <w:szCs w:val="32"/>
          <w:shd w:val="clear" w:fill="FFFFFF"/>
          <w:lang w:val="en-US" w:eastAsia="zh-CN" w:bidi="ar"/>
        </w:rPr>
        <w:t>在今后的工作中，我们将加强预算配置的精确性和预算管理意识，健全和完善财务管理体系，节约开支，为县域经济社会发展稳定和谐作出积极贡献。</w:t>
      </w:r>
    </w:p>
    <w:p w14:paraId="7F1A001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Calibri" w:hAnsi="Calibri" w:cs="Calibri"/>
          <w:i w:val="0"/>
          <w:iCs w:val="0"/>
          <w:caps w:val="0"/>
          <w:color w:val="000000"/>
          <w:spacing w:val="0"/>
          <w:sz w:val="24"/>
          <w:szCs w:val="24"/>
        </w:rPr>
      </w:pPr>
      <w:r>
        <w:rPr>
          <w:rFonts w:hint="eastAsia" w:ascii="黑体" w:hAnsi="黑体" w:eastAsia="黑体" w:cs="黑体"/>
          <w:i w:val="0"/>
          <w:iCs w:val="0"/>
          <w:caps w:val="0"/>
          <w:color w:val="000000"/>
          <w:spacing w:val="0"/>
          <w:sz w:val="32"/>
          <w:szCs w:val="32"/>
          <w:shd w:val="clear" w:fill="FFFFFF"/>
        </w:rPr>
        <w:t>九、其他需要说明的情况</w:t>
      </w:r>
    </w:p>
    <w:p w14:paraId="0BBCAA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default" w:ascii="Calibri" w:hAnsi="Calibri" w:cs="Calibri"/>
          <w:i w:val="0"/>
          <w:iCs w:val="0"/>
          <w:caps w:val="0"/>
          <w:color w:val="000000"/>
          <w:spacing w:val="0"/>
          <w:sz w:val="24"/>
          <w:szCs w:val="24"/>
        </w:rPr>
      </w:pPr>
      <w:r>
        <w:rPr>
          <w:rFonts w:hint="eastAsia" w:ascii="仿宋_GB2312" w:hAnsi="Times New Roman" w:eastAsia="仿宋_GB2312" w:cs="仿宋_GB2312"/>
          <w:i w:val="0"/>
          <w:iCs w:val="0"/>
          <w:caps w:val="0"/>
          <w:color w:val="000000"/>
          <w:spacing w:val="0"/>
          <w:kern w:val="0"/>
          <w:sz w:val="32"/>
          <w:szCs w:val="32"/>
          <w:shd w:val="clear" w:fill="FFFFFF"/>
          <w:lang w:val="en-US" w:eastAsia="zh-CN" w:bidi="ar"/>
        </w:rPr>
        <w:t>无</w:t>
      </w:r>
    </w:p>
    <w:p w14:paraId="4E249F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31E696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14388F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32"/>
          <w:szCs w:val="32"/>
          <w:shd w:val="clear" w:fill="FFFFFF"/>
          <w:lang w:val="en-US" w:eastAsia="zh-CN"/>
        </w:rPr>
      </w:pPr>
    </w:p>
    <w:p w14:paraId="3767A9D7">
      <w:pPr>
        <w:jc w:val="left"/>
        <w:rPr>
          <w:rFonts w:hint="eastAsia" w:ascii="仿宋" w:hAnsi="仿宋" w:eastAsia="仿宋" w:cs="仿宋"/>
          <w:b/>
          <w:bCs/>
          <w:sz w:val="30"/>
          <w:szCs w:val="30"/>
          <w:lang w:val="en-US" w:eastAsia="zh-CN"/>
        </w:rPr>
      </w:pPr>
    </w:p>
    <w:sectPr>
      <w:pgSz w:w="11906" w:h="16838"/>
      <w:pgMar w:top="1440" w:right="1134" w:bottom="1440"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lYzk3MDk0MzVkYmQ0NWI4MjVmYTUxZTE0NzU0NzUifQ=="/>
    <w:docVar w:name="KSO_WPS_MARK_KEY" w:val="2cad2da4-8c74-4208-b950-09c4ddb6f378"/>
  </w:docVars>
  <w:rsids>
    <w:rsidRoot w:val="00000000"/>
    <w:rsid w:val="115F322E"/>
    <w:rsid w:val="1EA33F65"/>
    <w:rsid w:val="269E5DD8"/>
    <w:rsid w:val="28522235"/>
    <w:rsid w:val="32636C88"/>
    <w:rsid w:val="349F37A4"/>
    <w:rsid w:val="4B72396B"/>
    <w:rsid w:val="4CAF4354"/>
    <w:rsid w:val="50195270"/>
    <w:rsid w:val="5AE06AF8"/>
    <w:rsid w:val="62011BB8"/>
    <w:rsid w:val="635868AC"/>
    <w:rsid w:val="691F1F24"/>
    <w:rsid w:val="734003F3"/>
    <w:rsid w:val="7AB33F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8"/>
      <w:szCs w:val="28"/>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List Paragraph"/>
    <w:basedOn w:val="1"/>
    <w:qFormat/>
    <w:uiPriority w:val="99"/>
    <w:pPr>
      <w:ind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2767</Words>
  <Characters>2867</Characters>
  <Lines>0</Lines>
  <Paragraphs>0</Paragraphs>
  <TotalTime>150</TotalTime>
  <ScaleCrop>false</ScaleCrop>
  <LinksUpToDate>false</LinksUpToDate>
  <CharactersWithSpaces>2887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2021-09-17T07:11:00Z</dcterms:created>
  <dc:creator>Administrator</dc:creator>
  <cp:lastModifiedBy></cp:lastModifiedBy>
  <dcterms:modified xsi:type="dcterms:W3CDTF">2025-10-21T08:16:15Z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D1BA0F076F3F45F5A4EC113A94463AE6_12</vt:lpwstr>
  </property>
  <property fmtid="{D5CDD505-2E9C-101B-9397-08002B2CF9AE}" pid="4" name="KSOTemplateDocerSaveRecord">
    <vt:lpwstr>eyJoZGlkIjoiNjEwOWI4OTY4M2Y2MTIwN2ViNThmOWIzNjg5YTM2YWYiLCJ1c2VySWQiOiIxMDY2MTM1OTQ2In0=</vt:lpwstr>
  </property>
</Properties>
</file>