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4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eastAsia="zh-CN"/>
        </w:rPr>
        <w:t>行政审批服务局部门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</w:t>
      </w:r>
    </w:p>
    <w:p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绩效自评报告</w:t>
      </w:r>
    </w:p>
    <w:p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both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u w:val="single"/>
          <w:lang w:eastAsia="zh-CN"/>
        </w:rPr>
        <w:t>（盖章）城步县行政审批服务局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   </w:t>
      </w:r>
    </w:p>
    <w:p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2025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4 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11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/>
    <w:p/>
    <w:p/>
    <w:p/>
    <w:p/>
    <w:p/>
    <w:p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城步县行政审批服务局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>
      <w:pPr>
        <w:spacing w:line="570" w:lineRule="atLeast"/>
        <w:ind w:firstLine="640" w:firstLineChars="200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根据编委核定，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我局内设股室3个，所属二级单位2个，内设股室分别是：办公室（挂行政效能股、挂政府热线监管股牌子）、行政审批制度改革股（挂政策法规股、审批业务指导股牌子）、电子政务和政务公开股。所属单位分别是政务服务中心,12345政府热线服务中心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我局编制人数6人，实有人数6人，离退休2人，政务中心编制数3人，实有人数3人，12345政府热线服务中心编制数4人，实有人数3人。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AGENCY_NAME_TITLE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城步苗族自治县行政审批服务局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的主要职责是：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1" w:name="FUNCRESP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1、指导、协调、推进全县行政审批制度改革工作。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2、牵头负责全县放管服改革工作，维护营商政务环境，协调、推进、提升行政效能工作。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3、推进、指导、协调、监督全县政务公开（信息公开、办事公开）和政务服务体系建设。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4、统筹协调、规划指导、监督评估全县政府系统电子政务工作；统筹推进、监督协调“互联网+政务服务”工作；统筹规划、监督考核全县政府系统网站。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5、对全县政府服务热线进行指导和监管，负责县本级12345政府服务热线的管理工作。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6、根据《行政许可法》规定，推进行政许可权相对集中工作改革，依法依规依程序审批相对集中的行政审批事项，并承担相应的法律责任。</w:t>
      </w:r>
      <w:bookmarkEnd w:id="1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（四）绩效目标设定情况</w:t>
      </w:r>
    </w:p>
    <w:p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扎实推进</w:t>
      </w:r>
      <w:r>
        <w:rPr>
          <w:rFonts w:hint="eastAsia" w:ascii="仿宋" w:hAnsi="仿宋" w:eastAsia="仿宋" w:cs="仿宋"/>
          <w:b w:val="0"/>
          <w:bCs w:val="0"/>
          <w:i w:val="0"/>
          <w:color w:val="auto"/>
          <w:spacing w:val="-6"/>
          <w:sz w:val="32"/>
          <w:szCs w:val="32"/>
          <w:shd w:val="clear" w:color="auto" w:fill="FFFFFF"/>
          <w:lang w:val="en-US" w:eastAsia="zh-CN"/>
        </w:rPr>
        <w:t>政务大厅科学化管理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。</w:t>
      </w:r>
    </w:p>
    <w:p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扎实推进“高效办成一件事”。</w:t>
      </w:r>
    </w:p>
    <w:p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扎实推进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“放管服”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重点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改革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扎实推进政府热线管理。</w:t>
      </w:r>
    </w:p>
    <w:p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扎实推进基层政务公开。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>
      <w:pPr>
        <w:pStyle w:val="10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年年初预算安排收入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647.40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万元，其中一般公共财政拨款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647.40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万元；202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年年初预算安排支出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647.40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162.71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万元，项目支出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484.69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2.部门决算情况（含年中预算追加情况）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年决算总收入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538.68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万元，较预算</w:t>
      </w:r>
      <w:r>
        <w:rPr>
          <w:rFonts w:hint="eastAsia" w:cs="Times New Roman"/>
          <w:sz w:val="32"/>
          <w:szCs w:val="32"/>
          <w:lang w:eastAsia="zh-CN"/>
        </w:rPr>
        <w:t>减少</w:t>
      </w:r>
      <w:bookmarkStart w:id="4" w:name="_GoBack"/>
      <w:bookmarkEnd w:id="4"/>
      <w:r>
        <w:rPr>
          <w:rFonts w:hint="eastAsia" w:cs="Times New Roman"/>
          <w:sz w:val="32"/>
          <w:szCs w:val="32"/>
          <w:lang w:val="en-US" w:eastAsia="zh-CN"/>
        </w:rPr>
        <w:t>108.72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538.68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162.71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30.21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％；项目支出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375.97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69.79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％。差异产生的主要原因是</w:t>
      </w:r>
      <w:r>
        <w:rPr>
          <w:rFonts w:hint="eastAsia" w:cs="Times New Roman"/>
          <w:sz w:val="32"/>
          <w:szCs w:val="32"/>
          <w:lang w:eastAsia="zh-CN"/>
        </w:rPr>
        <w:t>当年支出没有付出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0.91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0.91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ascii="仿宋" w:hAnsi="仿宋" w:eastAsia="仿宋"/>
          <w:color w:val="444444"/>
          <w:kern w:val="0"/>
          <w:sz w:val="32"/>
          <w:szCs w:val="32"/>
          <w:lang w:val="en-US" w:eastAsia="zh-CN"/>
        </w:rPr>
        <w:t>0.38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ascii="仿宋" w:hAnsi="仿宋" w:eastAsia="仿宋"/>
          <w:color w:val="444444"/>
          <w:kern w:val="0"/>
          <w:sz w:val="32"/>
          <w:szCs w:val="32"/>
          <w:lang w:val="en-US" w:eastAsia="zh-CN"/>
        </w:rPr>
        <w:t>0.38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.政府采购执行情况</w:t>
      </w:r>
    </w:p>
    <w:p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年度政府采购支出</w:t>
      </w:r>
      <w:r>
        <w:rPr>
          <w:rFonts w:hint="eastAsia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城步县行政审批服务局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国有资本经营预算支出为0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城步县行政审批服务局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国有资本经营预算支出为0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城步县行政审批服务局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社会保险基金预算支出为0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自评总分：9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分。对照整体支出绩效评价指标，我局自评分为9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分。整体来说做得较好，但由于客观原因，在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经济生态效益和可持续发展指标各扣一分</w:t>
      </w:r>
      <w:r>
        <w:rPr>
          <w:rFonts w:hint="eastAsia" w:ascii="仿宋_GB2312" w:hAnsi="仿宋_GB2312" w:eastAsia="仿宋_GB2312" w:cs="仿宋_GB2312"/>
          <w:sz w:val="32"/>
          <w:szCs w:val="32"/>
        </w:rPr>
        <w:t>，财务管理有待进一步加强。今后，我局将不断总结经验，</w:t>
      </w:r>
      <w:r>
        <w:rPr>
          <w:rFonts w:hint="eastAsia" w:ascii="仿宋_GB2312" w:hAnsi="仿宋_GB2312" w:eastAsia="仿宋_GB2312" w:cs="仿宋_GB2312"/>
          <w:sz w:val="28"/>
          <w:szCs w:val="28"/>
        </w:rPr>
        <w:t>进一步提高资金使用效率。</w:t>
      </w:r>
    </w:p>
    <w:p>
      <w:pPr>
        <w:spacing w:line="500" w:lineRule="exact"/>
        <w:ind w:firstLine="480" w:firstLineChars="1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社会公众或服务对象满意度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</w:rPr>
        <w:t>对本单位工作越来越满意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我局工作有序开展，不断加大政务公开力度，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社会公众（服务对象）对本单位工作越来越满意，表现在：标准化</w:t>
      </w:r>
      <w:r>
        <w:rPr>
          <w:rFonts w:hint="eastAsia" w:ascii="仿宋_GB2312" w:hAnsi="仿宋_GB2312" w:eastAsia="仿宋_GB2312" w:cs="仿宋_GB2312"/>
          <w:sz w:val="30"/>
          <w:szCs w:val="30"/>
        </w:rPr>
        <w:t>工作顺利完成，来大厅办事人员（老百姓）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，心里特别高兴，</w:t>
      </w:r>
      <w:r>
        <w:rPr>
          <w:rFonts w:hint="eastAsia" w:ascii="仿宋_GB2312" w:hAnsi="仿宋_GB2312" w:eastAsia="仿宋_GB2312" w:cs="仿宋_GB2312"/>
          <w:sz w:val="30"/>
          <w:szCs w:val="30"/>
        </w:rPr>
        <w:t>大厅办事人员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非常，细心，总是一张丢笑脸，有问必答，</w:t>
      </w:r>
      <w:r>
        <w:rPr>
          <w:rFonts w:hint="eastAsia" w:ascii="仿宋_GB2312" w:hAnsi="仿宋_GB2312" w:eastAsia="仿宋_GB2312" w:cs="仿宋_GB2312"/>
          <w:sz w:val="30"/>
          <w:szCs w:val="30"/>
        </w:rPr>
        <w:t>老百姓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非常高兴，心里特别满意高兴而来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满意而归，满意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度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100%。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评价指标分析（或综合评价情况）。</w:t>
      </w:r>
    </w:p>
    <w:p>
      <w:pPr>
        <w:numPr>
          <w:ilvl w:val="0"/>
          <w:numId w:val="0"/>
        </w:numPr>
        <w:ind w:firstLine="640"/>
        <w:rPr>
          <w:rStyle w:val="9"/>
          <w:rFonts w:hint="eastAsia" w:ascii="仿宋" w:hAnsi="仿宋" w:eastAsia="仿宋"/>
          <w:b w:val="0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/>
          <w:b w:val="0"/>
          <w:sz w:val="32"/>
          <w:szCs w:val="32"/>
          <w:lang w:val="en-US" w:eastAsia="zh-CN"/>
        </w:rPr>
        <w:t>2</w:t>
      </w:r>
      <w:r>
        <w:rPr>
          <w:rStyle w:val="9"/>
          <w:rFonts w:hint="eastAsia" w:ascii="仿宋" w:hAnsi="仿宋" w:eastAsia="仿宋"/>
          <w:b w:val="0"/>
          <w:sz w:val="32"/>
          <w:szCs w:val="32"/>
        </w:rPr>
        <w:t>02</w:t>
      </w:r>
      <w:r>
        <w:rPr>
          <w:rStyle w:val="9"/>
          <w:rFonts w:hint="eastAsia" w:ascii="仿宋" w:hAnsi="仿宋" w:eastAsia="仿宋"/>
          <w:b w:val="0"/>
          <w:sz w:val="32"/>
          <w:szCs w:val="32"/>
          <w:lang w:val="en-US" w:eastAsia="zh-CN"/>
        </w:rPr>
        <w:t>4</w:t>
      </w:r>
      <w:r>
        <w:rPr>
          <w:rStyle w:val="9"/>
          <w:rFonts w:hint="eastAsia" w:ascii="仿宋" w:hAnsi="仿宋" w:eastAsia="仿宋"/>
          <w:b w:val="0"/>
          <w:sz w:val="32"/>
          <w:szCs w:val="32"/>
        </w:rPr>
        <w:t>年我</w:t>
      </w:r>
      <w:r>
        <w:rPr>
          <w:rStyle w:val="9"/>
          <w:rFonts w:hint="eastAsia" w:ascii="仿宋" w:hAnsi="仿宋" w:eastAsia="仿宋"/>
          <w:b w:val="0"/>
          <w:sz w:val="32"/>
          <w:szCs w:val="32"/>
          <w:lang w:eastAsia="zh-CN"/>
        </w:rPr>
        <w:t>局</w:t>
      </w:r>
      <w:r>
        <w:rPr>
          <w:rStyle w:val="9"/>
          <w:rFonts w:hint="eastAsia" w:ascii="仿宋" w:hAnsi="仿宋" w:eastAsia="仿宋"/>
          <w:b w:val="0"/>
          <w:sz w:val="32"/>
          <w:szCs w:val="32"/>
        </w:rPr>
        <w:t>的工作完成率、完成及时率、质量达标率都达到了100%，较好的实现了预期目标</w:t>
      </w:r>
      <w:r>
        <w:rPr>
          <w:rStyle w:val="9"/>
          <w:rFonts w:hint="eastAsia" w:ascii="仿宋" w:hAnsi="仿宋" w:eastAsia="仿宋"/>
          <w:b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-6"/>
          <w:sz w:val="32"/>
          <w:szCs w:val="32"/>
          <w:shd w:val="clear" w:color="auto" w:fill="FFFFFF"/>
          <w:lang w:val="en-US" w:eastAsia="zh-CN"/>
        </w:rPr>
        <w:t>大力建设我县“高效办成一件事”专区，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督促各单位按照“三集中三到位”要求和“应入尽入”原则，将“高效办成一件事”涉及事项全面纳入专区管理。专区内设8个专窗，第一批17个“高效办成一件事”事项在相应专窗可咨询、受理、办理和评价，综合窗口可咨询、可受理。完成“畅游南山”“畅游玉龙洞”两个高频特色服务应用场景的建设，截至目前，购票人数达2000多人次，有效助力我县文旅事业的高质量发展。印发办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指南8000余份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，并在政务大厅设置宣传标语、标识。同时，利用政府网站和政务新媒体等发布相关信息解读政策，广泛宣传典型经验和做法，其中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《“四心”工作法助推“高效办成一件事”惠泽苗乡》工作经验在2024年8月《2024年第5期湖南数据与政务专刊（高效办成一件）》推广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bookmarkStart w:id="2" w:name="_Hlk144374471"/>
      <w:bookmarkEnd w:id="2"/>
      <w:bookmarkStart w:id="3" w:name="_Toc3791"/>
      <w:bookmarkEnd w:id="3"/>
    </w:p>
    <w:p>
      <w:pPr>
        <w:numPr>
          <w:ilvl w:val="0"/>
          <w:numId w:val="5"/>
        </w:numPr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 w:val="0"/>
          <w:sz w:val="32"/>
          <w:szCs w:val="32"/>
        </w:rPr>
        <w:t>反映履职效益情况</w:t>
      </w:r>
      <w:r>
        <w:rPr>
          <w:rFonts w:hint="eastAsia" w:ascii="仿宋" w:hAnsi="仿宋" w:eastAsia="仿宋"/>
          <w:bCs/>
          <w:sz w:val="32"/>
          <w:szCs w:val="32"/>
        </w:rPr>
        <w:t>：1、人员经费保证了工作人员安心工作，全心全意服务社会、服务群众；2、办公设备的配置和完善大大提高了工作效率、也为工作人员和群众提供了一个好的方便干净的环境。3、办公费用保证了单位的正常运转。4、“三公”经费也是一个单位部门存在、发展的必要开支，我们尽量做到厉行节约，遵守党纪法规和财经纪律。</w:t>
      </w:r>
    </w:p>
    <w:p>
      <w:pPr>
        <w:pStyle w:val="11"/>
        <w:numPr>
          <w:ilvl w:val="0"/>
          <w:numId w:val="0"/>
        </w:numPr>
        <w:spacing w:before="0" w:beforeAutospacing="0" w:after="0" w:afterAutospacing="0"/>
        <w:jc w:val="both"/>
        <w:rPr>
          <w:rStyle w:val="9"/>
          <w:rFonts w:hint="eastAsia" w:ascii="仿宋" w:hAnsi="仿宋" w:eastAsia="仿宋"/>
          <w:b w:val="0"/>
          <w:sz w:val="32"/>
          <w:szCs w:val="32"/>
        </w:rPr>
      </w:pPr>
      <w:r>
        <w:rPr>
          <w:rStyle w:val="9"/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3、</w:t>
      </w:r>
      <w:r>
        <w:rPr>
          <w:rStyle w:val="9"/>
          <w:rFonts w:hint="eastAsia" w:ascii="仿宋" w:hAnsi="仿宋" w:eastAsia="仿宋"/>
          <w:b/>
          <w:bCs w:val="0"/>
          <w:sz w:val="32"/>
          <w:szCs w:val="32"/>
        </w:rPr>
        <w:t>及时信息公开</w:t>
      </w:r>
      <w:r>
        <w:rPr>
          <w:rStyle w:val="9"/>
          <w:rFonts w:hint="eastAsia" w:ascii="仿宋" w:hAnsi="仿宋" w:eastAsia="仿宋"/>
          <w:b w:val="0"/>
          <w:sz w:val="32"/>
          <w:szCs w:val="32"/>
        </w:rPr>
        <w:t>。部门预决算、三公经费预决算、绩效评价等各项指标均按要求及时的进行了公开，做到了基础数据信息和会计资料真实、完整、准确。</w:t>
      </w:r>
    </w:p>
    <w:p>
      <w:pPr>
        <w:pStyle w:val="11"/>
        <w:numPr>
          <w:ilvl w:val="0"/>
          <w:numId w:val="0"/>
        </w:numPr>
        <w:spacing w:before="0" w:beforeAutospacing="0" w:after="0" w:afterAutospacing="0"/>
        <w:jc w:val="both"/>
        <w:rPr>
          <w:rStyle w:val="9"/>
          <w:rFonts w:hint="eastAsia" w:ascii="仿宋" w:hAnsi="仿宋" w:eastAsia="仿宋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Style w:val="9"/>
          <w:rFonts w:hint="eastAsia" w:ascii="仿宋" w:hAnsi="仿宋" w:eastAsia="仿宋"/>
          <w:b/>
          <w:bCs w:val="0"/>
          <w:sz w:val="32"/>
          <w:szCs w:val="32"/>
        </w:rPr>
        <w:t>严格采购程序</w:t>
      </w:r>
      <w:r>
        <w:rPr>
          <w:rStyle w:val="9"/>
          <w:rFonts w:hint="eastAsia" w:ascii="仿宋" w:hAnsi="仿宋" w:eastAsia="仿宋"/>
          <w:b w:val="0"/>
          <w:sz w:val="32"/>
          <w:szCs w:val="32"/>
        </w:rPr>
        <w:t>。业务股室增加大型办公设备，由业务股室报告分管副</w:t>
      </w:r>
      <w:r>
        <w:rPr>
          <w:rStyle w:val="9"/>
          <w:rFonts w:hint="eastAsia" w:ascii="仿宋" w:hAnsi="仿宋" w:eastAsia="仿宋"/>
          <w:b w:val="0"/>
          <w:sz w:val="32"/>
          <w:szCs w:val="32"/>
          <w:lang w:val="en-US" w:eastAsia="zh-CN"/>
        </w:rPr>
        <w:t>局长</w:t>
      </w:r>
      <w:r>
        <w:rPr>
          <w:rStyle w:val="9"/>
          <w:rFonts w:hint="eastAsia" w:ascii="仿宋" w:hAnsi="仿宋" w:eastAsia="仿宋"/>
          <w:b w:val="0"/>
          <w:sz w:val="32"/>
          <w:szCs w:val="32"/>
        </w:rPr>
        <w:t>同意后，在办公室备案，经研究后由办公室去县</w:t>
      </w:r>
      <w:r>
        <w:rPr>
          <w:rStyle w:val="9"/>
          <w:rFonts w:hint="eastAsia" w:ascii="仿宋" w:hAnsi="仿宋" w:eastAsia="仿宋"/>
          <w:b w:val="0"/>
          <w:sz w:val="32"/>
          <w:szCs w:val="32"/>
          <w:lang w:val="en-US" w:eastAsia="zh-CN"/>
        </w:rPr>
        <w:t>采购中心</w:t>
      </w:r>
      <w:r>
        <w:rPr>
          <w:rStyle w:val="9"/>
          <w:rFonts w:hint="eastAsia" w:ascii="仿宋" w:hAnsi="仿宋" w:eastAsia="仿宋"/>
          <w:b w:val="0"/>
          <w:sz w:val="32"/>
          <w:szCs w:val="32"/>
        </w:rPr>
        <w:t>办好控购手续才能购买。保证了政府采购执行率达到100%。</w:t>
      </w:r>
    </w:p>
    <w:p>
      <w:pPr>
        <w:pStyle w:val="11"/>
        <w:spacing w:before="0" w:beforeAutospacing="0" w:after="0" w:afterAutospacing="0"/>
        <w:jc w:val="both"/>
        <w:rPr>
          <w:rStyle w:val="9"/>
          <w:rFonts w:hint="eastAsia" w:ascii="仿宋" w:hAnsi="仿宋" w:eastAsia="仿宋"/>
          <w:b w:val="0"/>
          <w:sz w:val="32"/>
          <w:szCs w:val="32"/>
        </w:rPr>
      </w:pPr>
      <w:r>
        <w:rPr>
          <w:rStyle w:val="9"/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/>
          <w:b/>
          <w:bCs w:val="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/>
          <w:b/>
          <w:bCs w:val="0"/>
          <w:sz w:val="32"/>
          <w:szCs w:val="32"/>
        </w:rPr>
        <w:t>资产管理</w:t>
      </w:r>
      <w:r>
        <w:rPr>
          <w:rStyle w:val="9"/>
          <w:rFonts w:hint="eastAsia" w:ascii="仿宋" w:hAnsi="仿宋" w:eastAsia="仿宋"/>
          <w:b w:val="0"/>
          <w:sz w:val="32"/>
          <w:szCs w:val="32"/>
        </w:rPr>
        <w:t>：资产保存完整、配置合理、处置按程序办理且帐实相符，利用率100%。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>
      <w:pPr>
        <w:spacing w:line="56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）存在的问题：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财会人员一身多职，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事多工作忙，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极少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参加继续教育和业务培训，致使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工作难以提升。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、内部控制制度不够健全，仍需进一步明确和完善。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八、下一步改进措施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1、加强财会人员业务学习和培训力度。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加强财会人员职业道德教育，努力提高财会人员业务水平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对财会人员采取学历教育、专题自学、定点培训等多种学习方式，更加系统地学习行政事业单位会计制度和财务规则，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不断提高财务工作能力。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、健全内控制度，充分发挥单位内部监督制约作用。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单位财务管理的薄弱环节和风险控制点，要在完善手续、健全制度、防范风险上下功夫，制定完善一系列管理制度，经费管理制度、拨款审批制度等内部控制制度，建立完善的岗位责任制和内部稽核制度；单位和个人印鉴要分离，资金拨付审批和经费支出手续要完备，确保资金安全；所有账目都要做到定期核对，切实做到账账、账实相符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无。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B8E992"/>
    <w:multiLevelType w:val="singleLevel"/>
    <w:tmpl w:val="85B8E992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A5A0B62F"/>
    <w:multiLevelType w:val="singleLevel"/>
    <w:tmpl w:val="A5A0B6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6E52A68"/>
    <w:multiLevelType w:val="singleLevel"/>
    <w:tmpl w:val="46E52A6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65C25A8"/>
    <w:multiLevelType w:val="singleLevel"/>
    <w:tmpl w:val="765C25A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YTA5MWYzNWY2OGY2OGQ1ZmI0ZTk5MWNjZGYyY2UifQ=="/>
    <w:docVar w:name="KSO_WPS_MARK_KEY" w:val="2cad2da4-8c74-4208-b950-09c4ddb6f378"/>
  </w:docVars>
  <w:rsids>
    <w:rsidRoot w:val="00000000"/>
    <w:rsid w:val="00F811A8"/>
    <w:rsid w:val="029154A5"/>
    <w:rsid w:val="02FD7E96"/>
    <w:rsid w:val="039B0960"/>
    <w:rsid w:val="041722D7"/>
    <w:rsid w:val="076F772B"/>
    <w:rsid w:val="079E7BF5"/>
    <w:rsid w:val="07E85C76"/>
    <w:rsid w:val="07EC0DD1"/>
    <w:rsid w:val="0A1C6AB6"/>
    <w:rsid w:val="0B2F03F2"/>
    <w:rsid w:val="0C550884"/>
    <w:rsid w:val="103E20F0"/>
    <w:rsid w:val="112A5783"/>
    <w:rsid w:val="132F62D2"/>
    <w:rsid w:val="136878CF"/>
    <w:rsid w:val="137B6955"/>
    <w:rsid w:val="16FA09A5"/>
    <w:rsid w:val="174B4BAD"/>
    <w:rsid w:val="17C76AD9"/>
    <w:rsid w:val="17EA0DDC"/>
    <w:rsid w:val="183B0073"/>
    <w:rsid w:val="18891E21"/>
    <w:rsid w:val="19801FC5"/>
    <w:rsid w:val="1992155B"/>
    <w:rsid w:val="1AC15A62"/>
    <w:rsid w:val="1B2D6892"/>
    <w:rsid w:val="1B3A2D85"/>
    <w:rsid w:val="1B3A2E1D"/>
    <w:rsid w:val="1BA11DA2"/>
    <w:rsid w:val="1BBB5CA0"/>
    <w:rsid w:val="1C53108B"/>
    <w:rsid w:val="1DB4096C"/>
    <w:rsid w:val="1EA33F65"/>
    <w:rsid w:val="1FA724F6"/>
    <w:rsid w:val="20720F75"/>
    <w:rsid w:val="211663DC"/>
    <w:rsid w:val="22D671BF"/>
    <w:rsid w:val="246914BD"/>
    <w:rsid w:val="24694436"/>
    <w:rsid w:val="267639C1"/>
    <w:rsid w:val="2680161F"/>
    <w:rsid w:val="269E5DD8"/>
    <w:rsid w:val="26FD30EC"/>
    <w:rsid w:val="2724022F"/>
    <w:rsid w:val="276B11B6"/>
    <w:rsid w:val="27D01742"/>
    <w:rsid w:val="285C0613"/>
    <w:rsid w:val="29007771"/>
    <w:rsid w:val="2A0807CE"/>
    <w:rsid w:val="2A762C57"/>
    <w:rsid w:val="2A83660C"/>
    <w:rsid w:val="2B1A3463"/>
    <w:rsid w:val="2B6E4E13"/>
    <w:rsid w:val="2C397858"/>
    <w:rsid w:val="2CBE706D"/>
    <w:rsid w:val="2CF17937"/>
    <w:rsid w:val="2DB4324A"/>
    <w:rsid w:val="2FB52E6D"/>
    <w:rsid w:val="30BF083E"/>
    <w:rsid w:val="30E56A70"/>
    <w:rsid w:val="30EC5793"/>
    <w:rsid w:val="30FE377F"/>
    <w:rsid w:val="325925CC"/>
    <w:rsid w:val="32B55464"/>
    <w:rsid w:val="33B73A4E"/>
    <w:rsid w:val="341E1D1F"/>
    <w:rsid w:val="35202FF8"/>
    <w:rsid w:val="35712374"/>
    <w:rsid w:val="363F0FBC"/>
    <w:rsid w:val="364041CF"/>
    <w:rsid w:val="36824034"/>
    <w:rsid w:val="36910C40"/>
    <w:rsid w:val="36DF3FF7"/>
    <w:rsid w:val="36F2094B"/>
    <w:rsid w:val="370E65D2"/>
    <w:rsid w:val="38481167"/>
    <w:rsid w:val="385C6972"/>
    <w:rsid w:val="39094D4C"/>
    <w:rsid w:val="39167469"/>
    <w:rsid w:val="391F5477"/>
    <w:rsid w:val="3B8A2681"/>
    <w:rsid w:val="3C331CDF"/>
    <w:rsid w:val="3F572561"/>
    <w:rsid w:val="3FC4377B"/>
    <w:rsid w:val="41E958B9"/>
    <w:rsid w:val="435F1AF1"/>
    <w:rsid w:val="43622167"/>
    <w:rsid w:val="43943988"/>
    <w:rsid w:val="446B6153"/>
    <w:rsid w:val="46C8036F"/>
    <w:rsid w:val="46D06EA9"/>
    <w:rsid w:val="47631C17"/>
    <w:rsid w:val="48BB1493"/>
    <w:rsid w:val="494451F2"/>
    <w:rsid w:val="49920446"/>
    <w:rsid w:val="49C12AD9"/>
    <w:rsid w:val="4AB36CF8"/>
    <w:rsid w:val="4B223A4B"/>
    <w:rsid w:val="4B72396B"/>
    <w:rsid w:val="4C514884"/>
    <w:rsid w:val="4DC52AF2"/>
    <w:rsid w:val="4DF15EEE"/>
    <w:rsid w:val="4E0336C0"/>
    <w:rsid w:val="53014501"/>
    <w:rsid w:val="54A817C0"/>
    <w:rsid w:val="55652EB2"/>
    <w:rsid w:val="55A94792"/>
    <w:rsid w:val="567E675E"/>
    <w:rsid w:val="583E33BD"/>
    <w:rsid w:val="59101A74"/>
    <w:rsid w:val="595F1095"/>
    <w:rsid w:val="59903BB8"/>
    <w:rsid w:val="5B7F4EF8"/>
    <w:rsid w:val="5C741C2D"/>
    <w:rsid w:val="5CC4276D"/>
    <w:rsid w:val="5E1D4176"/>
    <w:rsid w:val="62AD52E1"/>
    <w:rsid w:val="639D1ED1"/>
    <w:rsid w:val="63C05E97"/>
    <w:rsid w:val="66AD6467"/>
    <w:rsid w:val="686E59E4"/>
    <w:rsid w:val="6933534A"/>
    <w:rsid w:val="6A6C50D6"/>
    <w:rsid w:val="6AFA2982"/>
    <w:rsid w:val="6B253E6C"/>
    <w:rsid w:val="6BB8180A"/>
    <w:rsid w:val="6D1C6B12"/>
    <w:rsid w:val="6DCC2E94"/>
    <w:rsid w:val="6DE32EF8"/>
    <w:rsid w:val="6E7D445D"/>
    <w:rsid w:val="6F4918B0"/>
    <w:rsid w:val="6FC14D32"/>
    <w:rsid w:val="702459EC"/>
    <w:rsid w:val="70EB47AB"/>
    <w:rsid w:val="71ED62B2"/>
    <w:rsid w:val="72503B54"/>
    <w:rsid w:val="72A503DE"/>
    <w:rsid w:val="766A3E31"/>
    <w:rsid w:val="769152BA"/>
    <w:rsid w:val="77ED42C4"/>
    <w:rsid w:val="78F60D89"/>
    <w:rsid w:val="79A226E6"/>
    <w:rsid w:val="79A910CC"/>
    <w:rsid w:val="7DEA4D00"/>
    <w:rsid w:val="7F8A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unhideWhenUsed/>
    <w:qFormat/>
    <w:uiPriority w:val="99"/>
    <w:pPr>
      <w:widowControl w:val="0"/>
      <w:snapToGrid w:val="0"/>
      <w:spacing w:line="580" w:lineRule="exact"/>
      <w:ind w:firstLine="0" w:firstLineChars="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unhideWhenUsed/>
    <w:qFormat/>
    <w:uiPriority w:val="99"/>
    <w:pPr>
      <w:spacing w:before="100" w:beforeAutospacing="1" w:after="0"/>
      <w:ind w:left="0" w:leftChars="0" w:firstLine="420" w:firstLineChars="200"/>
    </w:pPr>
    <w:rPr>
      <w:rFonts w:ascii="Calibri" w:hAnsi="Calibri" w:eastAsia="宋体"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1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249</Words>
  <Characters>263</Characters>
  <Lines>0</Lines>
  <Paragraphs>0</Paragraphs>
  <TotalTime>10</TotalTime>
  <ScaleCrop>false</ScaleCrop>
  <LinksUpToDate>false</LinksUpToDate>
  <CharactersWithSpaces>271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2021-09-17T07:11:00Z</dcterms:created>
  <dc:creator>Administrator</dc:creator>
  <cp:lastModifiedBy>Administrator</cp:lastModifiedBy>
  <dcterms:modified xsi:type="dcterms:W3CDTF">2025-04-11T07:03:51Z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D1BA0F076F3F45F5A4EC113A94463AE6_12</vt:lpwstr>
  </property>
</Properties>
</file>