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4</w:t>
      </w:r>
      <w:r>
        <w:rPr>
          <w:rFonts w:ascii="Times New Roman" w:hAnsi="Times New Roman" w:eastAsia="方正小标宋_GBK" w:cs="Times New Roman"/>
          <w:sz w:val="52"/>
          <w:szCs w:val="52"/>
        </w:rPr>
        <w:t>年</w:t>
      </w:r>
      <w:r>
        <w:rPr>
          <w:rFonts w:hint="eastAsia" w:eastAsia="方正小标宋_GBK" w:cs="Times New Roman"/>
          <w:sz w:val="52"/>
          <w:szCs w:val="52"/>
          <w:lang w:val="en-US" w:eastAsia="zh-CN"/>
        </w:rPr>
        <w:t>人社局</w:t>
      </w:r>
      <w:r>
        <w:rPr>
          <w:rFonts w:hint="eastAsia" w:eastAsia="方正小标宋_GBK" w:cs="Times New Roman"/>
          <w:sz w:val="52"/>
          <w:szCs w:val="52"/>
          <w:lang w:eastAsia="zh-CN"/>
        </w:rPr>
        <w:t>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（盖章）</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2025</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4</w:t>
      </w:r>
      <w:r>
        <w:rPr>
          <w:rFonts w:hint="eastAsia" w:ascii="仿宋" w:hAnsi="仿宋" w:eastAsia="仿宋" w:cs="仿宋"/>
          <w:sz w:val="40"/>
          <w:szCs w:val="40"/>
        </w:rPr>
        <w:t>月</w:t>
      </w:r>
      <w:r>
        <w:rPr>
          <w:rFonts w:hint="eastAsia" w:ascii="仿宋" w:hAnsi="仿宋" w:eastAsia="仿宋" w:cs="仿宋"/>
          <w:sz w:val="40"/>
          <w:szCs w:val="40"/>
          <w:lang w:val="en-US" w:eastAsia="zh-CN"/>
        </w:rPr>
        <w:t xml:space="preserve"> 11 </w:t>
      </w:r>
      <w:r>
        <w:rPr>
          <w:rFonts w:hint="eastAsia" w:ascii="仿宋" w:hAnsi="仿宋" w:eastAsia="仿宋" w:cs="仿宋"/>
          <w:sz w:val="40"/>
          <w:szCs w:val="40"/>
        </w:rPr>
        <w:t>日</w:t>
      </w:r>
    </w:p>
    <w:p/>
    <w:p/>
    <w:p/>
    <w:p/>
    <w:p/>
    <w:p/>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人社局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keepNext w:val="0"/>
        <w:keepLines w:val="0"/>
        <w:pageBreakBefore w:val="0"/>
        <w:numPr>
          <w:ilvl w:val="0"/>
          <w:numId w:val="0"/>
        </w:numPr>
        <w:kinsoku/>
        <w:wordWrap/>
        <w:overflowPunct/>
        <w:topLinePunct w:val="0"/>
        <w:autoSpaceDE/>
        <w:autoSpaceDN/>
        <w:bidi w:val="0"/>
        <w:spacing w:line="560" w:lineRule="exact"/>
        <w:ind w:right="0" w:rightChars="0" w:firstLine="600" w:firstLineChars="200"/>
        <w:jc w:val="both"/>
        <w:textAlignment w:val="auto"/>
        <w:outlineLvl w:val="9"/>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sz w:val="30"/>
          <w:szCs w:val="30"/>
        </w:rPr>
        <w:t>县人力资源和社会保障局属财政全额拨款</w:t>
      </w:r>
      <w:r>
        <w:rPr>
          <w:rFonts w:hint="eastAsia" w:ascii="仿宋" w:hAnsi="仿宋" w:eastAsia="仿宋" w:cs="仿宋"/>
          <w:sz w:val="30"/>
          <w:szCs w:val="30"/>
          <w:lang w:eastAsia="zh-CN"/>
        </w:rPr>
        <w:t>一级</w:t>
      </w:r>
      <w:r>
        <w:rPr>
          <w:rFonts w:hint="eastAsia" w:ascii="仿宋" w:hAnsi="仿宋" w:eastAsia="仿宋" w:cs="仿宋"/>
          <w:sz w:val="30"/>
          <w:szCs w:val="30"/>
        </w:rPr>
        <w:t>预算单位，共设1</w:t>
      </w:r>
      <w:r>
        <w:rPr>
          <w:rFonts w:hint="eastAsia" w:ascii="仿宋" w:hAnsi="仿宋" w:eastAsia="仿宋" w:cs="仿宋"/>
          <w:sz w:val="30"/>
          <w:szCs w:val="30"/>
          <w:lang w:val="en-US" w:eastAsia="zh-CN"/>
        </w:rPr>
        <w:t>1</w:t>
      </w:r>
      <w:r>
        <w:rPr>
          <w:rFonts w:hint="eastAsia" w:ascii="仿宋" w:hAnsi="仿宋" w:eastAsia="仿宋" w:cs="仿宋"/>
          <w:sz w:val="30"/>
          <w:szCs w:val="30"/>
        </w:rPr>
        <w:t>个行政股室，</w:t>
      </w:r>
      <w:r>
        <w:rPr>
          <w:rFonts w:hint="eastAsia" w:ascii="仿宋" w:hAnsi="仿宋" w:eastAsia="仿宋" w:cs="仿宋"/>
          <w:i w:val="0"/>
          <w:iCs w:val="0"/>
          <w:caps w:val="0"/>
          <w:color w:val="000000"/>
          <w:spacing w:val="0"/>
          <w:sz w:val="30"/>
          <w:szCs w:val="30"/>
          <w:shd w:val="clear" w:fill="FFFFFF"/>
          <w:lang w:val="en-US" w:eastAsia="zh-CN"/>
        </w:rPr>
        <w:t>分别是办公室、政工股、财务和基金监督股、法规和行政审批股、就业促进股、事业单位管理股、专业技术人员管理股、工资福利股、养老保险股、失业工伤保险股和统计信息股。</w:t>
      </w:r>
      <w:r>
        <w:rPr>
          <w:rFonts w:hint="eastAsia" w:ascii="仿宋" w:hAnsi="仿宋" w:eastAsia="仿宋" w:cs="仿宋"/>
          <w:sz w:val="30"/>
          <w:szCs w:val="30"/>
        </w:rPr>
        <w:t>下属养老、失业、工伤</w:t>
      </w:r>
      <w:r>
        <w:rPr>
          <w:rFonts w:hint="eastAsia" w:ascii="仿宋" w:hAnsi="仿宋" w:eastAsia="仿宋" w:cs="仿宋"/>
          <w:sz w:val="30"/>
          <w:szCs w:val="30"/>
          <w:lang w:eastAsia="zh-CN"/>
        </w:rPr>
        <w:t>三</w:t>
      </w:r>
      <w:r>
        <w:rPr>
          <w:rFonts w:hint="eastAsia" w:ascii="仿宋" w:hAnsi="仿宋" w:eastAsia="仿宋" w:cs="仿宋"/>
          <w:sz w:val="30"/>
          <w:szCs w:val="30"/>
        </w:rPr>
        <w:t>大险种经办机构和劳动监察、就业、人力资源管理、人事劳动争议仲裁等</w:t>
      </w:r>
      <w:r>
        <w:rPr>
          <w:rFonts w:hint="eastAsia" w:ascii="仿宋" w:hAnsi="仿宋" w:eastAsia="仿宋" w:cs="仿宋"/>
          <w:sz w:val="30"/>
          <w:szCs w:val="30"/>
          <w:lang w:val="en-US" w:eastAsia="zh-CN"/>
        </w:rPr>
        <w:t>5</w:t>
      </w:r>
      <w:r>
        <w:rPr>
          <w:rFonts w:hint="eastAsia" w:ascii="仿宋" w:hAnsi="仿宋" w:eastAsia="仿宋" w:cs="仿宋"/>
          <w:sz w:val="30"/>
          <w:szCs w:val="30"/>
        </w:rPr>
        <w:t>个副科级全额拨款二级机构</w:t>
      </w:r>
      <w:r>
        <w:rPr>
          <w:rFonts w:hint="eastAsia" w:ascii="仿宋" w:hAnsi="仿宋" w:eastAsia="仿宋" w:cs="仿宋"/>
          <w:sz w:val="30"/>
          <w:szCs w:val="30"/>
          <w:lang w:eastAsia="zh-CN"/>
        </w:rPr>
        <w:t>。</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val="en-US" w:eastAsia="zh-CN"/>
        </w:rPr>
        <w:t xml:space="preserve">   （二）</w:t>
      </w:r>
      <w:r>
        <w:rPr>
          <w:rFonts w:hint="default" w:ascii="楷体_GB2312" w:eastAsia="楷体_GB2312" w:cs="楷体_GB2312"/>
          <w:i w:val="0"/>
          <w:iCs w:val="0"/>
          <w:caps w:val="0"/>
          <w:color w:val="000000"/>
          <w:spacing w:val="0"/>
          <w:sz w:val="32"/>
          <w:szCs w:val="32"/>
          <w:shd w:val="clear" w:fill="FFFFFF"/>
        </w:rPr>
        <w:t>人员编制情况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sz w:val="30"/>
          <w:szCs w:val="30"/>
        </w:rPr>
        <w:t>县</w:t>
      </w:r>
      <w:r>
        <w:rPr>
          <w:rFonts w:hint="eastAsia" w:ascii="仿宋" w:hAnsi="仿宋" w:eastAsia="仿宋" w:cs="仿宋"/>
          <w:sz w:val="30"/>
          <w:szCs w:val="30"/>
          <w:lang w:eastAsia="zh-CN"/>
        </w:rPr>
        <w:t>人力资源和社会保障局年末行政编制人数</w:t>
      </w:r>
      <w:r>
        <w:rPr>
          <w:rFonts w:hint="eastAsia" w:ascii="仿宋" w:hAnsi="仿宋" w:eastAsia="仿宋" w:cs="仿宋"/>
          <w:sz w:val="30"/>
          <w:szCs w:val="30"/>
          <w:lang w:val="en-US" w:eastAsia="zh-CN"/>
        </w:rPr>
        <w:t>14人、工勤编制人数2人，人才交流中心编制人数20人，人事劳动争议仲裁院编制人数5人，共计编制人数41人，年末实有人数28人。</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firstLine="320" w:firstLineChars="100"/>
        <w:textAlignment w:val="auto"/>
        <w:rPr>
          <w:rFonts w:hint="default" w:ascii="楷体_GB2312" w:eastAsia="楷体_GB2312" w:cs="楷体_GB2312"/>
          <w:i w:val="0"/>
          <w:iCs w:val="0"/>
          <w:caps w:val="0"/>
          <w:color w:val="000000"/>
          <w:spacing w:val="0"/>
          <w:sz w:val="32"/>
          <w:szCs w:val="32"/>
          <w:shd w:val="clear" w:fill="FFFFFF"/>
        </w:rPr>
      </w:pPr>
      <w:r>
        <w:rPr>
          <w:rFonts w:hint="eastAsia" w:ascii="楷体_GB2312" w:eastAsia="楷体_GB2312" w:cs="楷体_GB2312"/>
          <w:i w:val="0"/>
          <w:iCs w:val="0"/>
          <w:caps w:val="0"/>
          <w:color w:val="000000"/>
          <w:spacing w:val="0"/>
          <w:sz w:val="32"/>
          <w:szCs w:val="32"/>
          <w:shd w:val="clear" w:fill="FFFFFF"/>
          <w:lang w:eastAsia="zh-CN"/>
        </w:rPr>
        <w:t>（</w:t>
      </w:r>
      <w:r>
        <w:rPr>
          <w:rFonts w:hint="eastAsia" w:ascii="楷体_GB2312" w:eastAsia="楷体_GB2312" w:cs="楷体_GB2312"/>
          <w:i w:val="0"/>
          <w:iCs w:val="0"/>
          <w:caps w:val="0"/>
          <w:color w:val="000000"/>
          <w:spacing w:val="0"/>
          <w:sz w:val="32"/>
          <w:szCs w:val="32"/>
          <w:shd w:val="clear" w:fill="FFFFFF"/>
          <w:lang w:val="en-US" w:eastAsia="zh-CN"/>
        </w:rPr>
        <w:t>三</w:t>
      </w:r>
      <w:r>
        <w:rPr>
          <w:rFonts w:hint="eastAsia" w:ascii="楷体_GB2312" w:eastAsia="楷体_GB2312" w:cs="楷体_GB2312"/>
          <w:i w:val="0"/>
          <w:iCs w:val="0"/>
          <w:caps w:val="0"/>
          <w:color w:val="000000"/>
          <w:spacing w:val="0"/>
          <w:sz w:val="32"/>
          <w:szCs w:val="32"/>
          <w:shd w:val="clear" w:fill="FFFFFF"/>
          <w:lang w:eastAsia="zh-CN"/>
        </w:rPr>
        <w:t>）</w:t>
      </w:r>
      <w:r>
        <w:rPr>
          <w:rFonts w:hint="default" w:ascii="楷体_GB2312" w:eastAsia="楷体_GB2312" w:cs="楷体_GB2312"/>
          <w:i w:val="0"/>
          <w:iCs w:val="0"/>
          <w:caps w:val="0"/>
          <w:color w:val="000000"/>
          <w:spacing w:val="0"/>
          <w:sz w:val="32"/>
          <w:szCs w:val="32"/>
          <w:shd w:val="clear" w:fill="FFFFFF"/>
        </w:rPr>
        <w:t>主要职能职责</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拟订全县人力资源和社会保障事业发展政策、规划，按规定起草相关地方性法规、规章草案并组织实施。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拟订全县人力资源市场发展规划和人力资源服务业发展、人力资源流动政策，促进人力资源合理流动、有效配置。</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负责全县促进就业工作，拟订统筹城乡的就业发展规划和政策，完善公共就业创业服务体系</w:t>
      </w:r>
      <w:r>
        <w:rPr>
          <w:rFonts w:hint="eastAsia" w:ascii="仿宋" w:hAnsi="仿宋" w:eastAsia="仿宋" w:cs="仿宋"/>
          <w:sz w:val="32"/>
          <w:szCs w:val="32"/>
          <w:lang w:eastAsia="zh-CN"/>
        </w:rPr>
        <w:t>，</w:t>
      </w:r>
      <w:r>
        <w:rPr>
          <w:rFonts w:hint="eastAsia" w:ascii="仿宋" w:hAnsi="仿宋" w:eastAsia="仿宋" w:cs="仿宋"/>
          <w:sz w:val="32"/>
          <w:szCs w:val="32"/>
        </w:rPr>
        <w:t xml:space="preserve"> 统筹建立面向城乡劳动者的职业技能培训制度，拟订就业援助制度，牵头拟订高校毕业生就业政策。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统筹推进建立全县覆盖城乡的多层次社会保障体系。 拟订养老、失业、工伤等社会保险及其补充保险政策和标准。组织拟订养老、失业、工伤等社会保险及其补充保险基金管理和监督制度，编制相关社会保险基金预决算草案，参与拟订相关社会保障基金投资政策。会同有关部门实施全民参保计划并建立全县统一的社会保险公共服务平台。</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负责全县就业、失业和相关社会保险基金预测预警和信息引导，拟订应对预案，实施预防、调节和控制，保持就业形势稳定和相关社会保险基金总体收支平衡。</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统筹拟订全县劳动人事争议调解仲裁工作规划和劳动关系政策，完善劳动关系协商协调机制，拟订并监督实施职工工作时间、休息休假和假期制度，拟订并监督实施消除非法使用童工政策和女工、未成年工特殊劳动保护政策。 组织实施劳动保障监察，协调劳动者维权工作，依法查处重大案件。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牵头推进全县深化职称制度改革， 拟订并组织实施专业技术人员管理、继续教育管理等政策，负责高层次专业技术人才选拔和培养工作，拟订并落实吸引留学人员来城(回国)工作或定居政策。组织拟订技能人才培养、评价、使用和激励制度。完善职业资格制度，健全职业技能多元化评价政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会同有关部门指导全县事业单位人事制度改革，按照管理权限负责规范事业单位岗位设置、公开招聘、聘用合同等人事综合管理工作，拟订事业单位工作人员和机关工勤人员管理政策。</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会同有关部门拟订全县事业单位人员工资收入分配政策并组织实施，建立全县企事业单位人员工资决定、正常增长和支付保障机制。拟订全县企事业单位人员福利和离退休政策并组织实施。</w:t>
      </w:r>
    </w:p>
    <w:p>
      <w:pPr>
        <w:keepNext w:val="0"/>
        <w:keepLines w:val="0"/>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会同有关部门拟订全县农民工工作的综合性政策和规划，推动相关政策落实，协调解决重点难点问题，维护农民工合法权益。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320" w:firstLineChars="10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（四）绩效目标设定情况</w:t>
      </w:r>
    </w:p>
    <w:p>
      <w:pPr>
        <w:keepNext w:val="0"/>
        <w:keepLines w:val="0"/>
        <w:pageBreakBefore w:val="0"/>
        <w:kinsoku/>
        <w:wordWrap/>
        <w:overflowPunct/>
        <w:topLinePunct w:val="0"/>
        <w:autoSpaceDE/>
        <w:autoSpaceDN/>
        <w:bidi w:val="0"/>
        <w:spacing w:line="500" w:lineRule="exact"/>
        <w:ind w:firstLine="600" w:firstLineChars="200"/>
        <w:textAlignment w:val="auto"/>
        <w:rPr>
          <w:rFonts w:hint="default" w:ascii="楷体_GB2312" w:eastAsia="楷体_GB2312" w:cs="楷体_GB2312"/>
          <w:i w:val="0"/>
          <w:iCs w:val="0"/>
          <w:caps w:val="0"/>
          <w:color w:val="000000"/>
          <w:spacing w:val="0"/>
          <w:sz w:val="32"/>
          <w:szCs w:val="32"/>
          <w:shd w:val="clear" w:fill="FFFFFF"/>
        </w:rPr>
      </w:pPr>
      <w:r>
        <w:rPr>
          <w:rFonts w:hint="eastAsia" w:ascii="仿宋" w:hAnsi="仿宋" w:eastAsia="仿宋" w:cs="仿宋"/>
          <w:sz w:val="30"/>
          <w:szCs w:val="30"/>
          <w:lang w:val="en-US" w:eastAsia="zh-CN"/>
        </w:rPr>
        <w:t>1、就业工作。按时完成市级下发的就业创业指标任务；2、社保工作。重点做好社会保险参保扩面和征缴工作；3、人事人才工作。抓事业单位人事改革、人才服务、人才引进和军转安置等工作。4、维权工作。劳动保障举报投诉案件和劳动争议仲裁案件按期结案率达90%以上。5、绩效考核和为民办实事工作。紧紧围绕市委、市政府中心工作，进一步优化评估指标，科学制定考核方案，切实加强为民办实事项目的督查督办。6、乡村振兴行业帮扶工作。</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9"/>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664.96</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646.96</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646.96</w:t>
      </w:r>
      <w:r>
        <w:rPr>
          <w:rFonts w:hint="default" w:ascii="Times New Roman" w:hAnsi="Times New Roman" w:eastAsia="仿宋_GB2312" w:cs="Times New Roman"/>
          <w:sz w:val="32"/>
          <w:szCs w:val="32"/>
          <w:lang w:eastAsia="zh-CN"/>
        </w:rPr>
        <w:t>万元</w:t>
      </w:r>
      <w:r>
        <w:rPr>
          <w:rFonts w:hint="eastAsia" w:cs="Times New Roman"/>
          <w:sz w:val="32"/>
          <w:szCs w:val="32"/>
          <w:lang w:eastAsia="zh-CN"/>
        </w:rPr>
        <w:t>，</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345.64</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319.32</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592.14</w:t>
      </w:r>
      <w:r>
        <w:rPr>
          <w:rFonts w:hint="default" w:ascii="Times New Roman" w:hAnsi="Times New Roman" w:eastAsia="仿宋_GB2312" w:cs="Times New Roman"/>
          <w:sz w:val="32"/>
          <w:szCs w:val="32"/>
          <w:lang w:eastAsia="zh-CN"/>
        </w:rPr>
        <w:t>万元，较预算</w:t>
      </w:r>
      <w:r>
        <w:rPr>
          <w:rFonts w:hint="eastAsia" w:cs="Times New Roman"/>
          <w:sz w:val="32"/>
          <w:szCs w:val="32"/>
          <w:lang w:val="en-US" w:eastAsia="zh-CN"/>
        </w:rPr>
        <w:t>减少72.82</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592.14</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524.49</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89</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67.65</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11</w:t>
      </w:r>
      <w:r>
        <w:rPr>
          <w:rFonts w:hint="default" w:ascii="Times New Roman" w:hAnsi="Times New Roman" w:eastAsia="仿宋_GB2312" w:cs="Times New Roman"/>
          <w:sz w:val="32"/>
          <w:szCs w:val="32"/>
          <w:lang w:eastAsia="zh-CN"/>
        </w:rPr>
        <w:t>％。差异产生的主要原因是</w:t>
      </w:r>
      <w:r>
        <w:rPr>
          <w:rFonts w:hint="eastAsia" w:ascii="仿宋_GB2312" w:hAnsi="仿宋" w:eastAsia="仿宋_GB2312"/>
          <w:sz w:val="32"/>
          <w:szCs w:val="32"/>
          <w:highlight w:val="none"/>
          <w:lang w:val="en-US" w:eastAsia="zh-CN"/>
        </w:rPr>
        <w:t>决算数比预算数减少</w:t>
      </w:r>
      <w:r>
        <w:rPr>
          <w:rFonts w:hint="eastAsia" w:ascii="仿宋_GB2312" w:hAnsi="仿宋"/>
          <w:sz w:val="32"/>
          <w:szCs w:val="32"/>
          <w:highlight w:val="none"/>
          <w:lang w:val="en-US" w:eastAsia="zh-CN"/>
        </w:rPr>
        <w:t>72.82</w:t>
      </w:r>
      <w:r>
        <w:rPr>
          <w:rFonts w:hint="eastAsia" w:ascii="仿宋_GB2312" w:hAnsi="仿宋" w:eastAsia="仿宋_GB2312"/>
          <w:sz w:val="32"/>
          <w:szCs w:val="32"/>
          <w:highlight w:val="none"/>
          <w:lang w:val="en-US" w:eastAsia="zh-CN"/>
        </w:rPr>
        <w:t>万元，减少1</w:t>
      </w:r>
      <w:r>
        <w:rPr>
          <w:rFonts w:hint="eastAsia" w:ascii="仿宋_GB2312" w:hAnsi="仿宋"/>
          <w:sz w:val="32"/>
          <w:szCs w:val="32"/>
          <w:highlight w:val="none"/>
          <w:lang w:val="en-US" w:eastAsia="zh-CN"/>
        </w:rPr>
        <w:t>1</w:t>
      </w:r>
      <w:r>
        <w:rPr>
          <w:rFonts w:hint="eastAsia" w:ascii="仿宋_GB2312" w:hAnsi="仿宋" w:eastAsia="仿宋_GB2312"/>
          <w:sz w:val="32"/>
          <w:szCs w:val="32"/>
          <w:highlight w:val="none"/>
          <w:lang w:val="en-US" w:eastAsia="zh-CN"/>
        </w:rPr>
        <w:t>%，主要原因是</w:t>
      </w:r>
      <w:r>
        <w:rPr>
          <w:rFonts w:hint="eastAsia" w:ascii="仿宋_GB2312" w:hAnsi="仿宋"/>
          <w:sz w:val="32"/>
          <w:szCs w:val="32"/>
          <w:highlight w:val="none"/>
          <w:lang w:val="en-US" w:eastAsia="zh-CN"/>
        </w:rPr>
        <w:t>年初部门预算征管经费由局机关统一打包预算，然后按季度由财政直接拨付至局属二级机构</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lang w:val="en-US" w:eastAsia="zh-CN"/>
        </w:rPr>
        <w:t xml:space="preserve">   </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2.05</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万元，公务用车运行维护费万元，公务接待费</w:t>
      </w:r>
      <w:r>
        <w:rPr>
          <w:rFonts w:hint="eastAsia" w:cs="Times New Roman"/>
          <w:sz w:val="32"/>
          <w:szCs w:val="32"/>
          <w:lang w:val="en-US" w:eastAsia="zh-CN"/>
        </w:rPr>
        <w:t>2.05</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25.68</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25.68</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9"/>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各预算单位有资金性质为政府性基金的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则</w:t>
      </w:r>
      <w:r>
        <w:rPr>
          <w:rFonts w:hint="eastAsia" w:ascii="Times New Roman" w:hAnsi="Times New Roman" w:cs="Times New Roman"/>
          <w:color w:val="auto"/>
          <w:kern w:val="0"/>
          <w:sz w:val="32"/>
          <w:szCs w:val="32"/>
          <w:lang w:val="en-US" w:eastAsia="zh-CN" w:bidi="ar-SA"/>
        </w:rPr>
        <w:t>该项资金</w:t>
      </w:r>
      <w:r>
        <w:rPr>
          <w:rFonts w:hint="eastAsia" w:ascii="Times New Roman" w:hAnsi="Times New Roman" w:eastAsia="仿宋_GB2312" w:cs="Times New Roman"/>
          <w:color w:val="auto"/>
          <w:kern w:val="0"/>
          <w:sz w:val="32"/>
          <w:szCs w:val="32"/>
          <w:lang w:val="en-US" w:eastAsia="zh-CN" w:bidi="ar-SA"/>
        </w:rPr>
        <w:t>使用情况，反之则不写。</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各预算单位有资金性质为国有资本经营的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则写</w:t>
      </w:r>
      <w:r>
        <w:rPr>
          <w:rFonts w:hint="eastAsia" w:ascii="Times New Roman" w:hAnsi="Times New Roman" w:cs="Times New Roman"/>
          <w:color w:val="auto"/>
          <w:kern w:val="0"/>
          <w:sz w:val="32"/>
          <w:szCs w:val="32"/>
          <w:lang w:val="en-US" w:eastAsia="zh-CN" w:bidi="ar-SA"/>
        </w:rPr>
        <w:t>该项资金</w:t>
      </w:r>
      <w:r>
        <w:rPr>
          <w:rFonts w:hint="eastAsia" w:ascii="Times New Roman" w:hAnsi="Times New Roman" w:eastAsia="仿宋_GB2312" w:cs="Times New Roman"/>
          <w:color w:val="auto"/>
          <w:kern w:val="0"/>
          <w:sz w:val="32"/>
          <w:szCs w:val="32"/>
          <w:lang w:val="en-US" w:eastAsia="zh-CN" w:bidi="ar-SA"/>
        </w:rPr>
        <w:t>使用情况，反之则不写。</w:t>
      </w: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9"/>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各预算单位有资金性质为社会保险基金的</w:t>
      </w:r>
      <w:r>
        <w:rPr>
          <w:rFonts w:hint="eastAsia" w:ascii="Times New Roman" w:hAnsi="Times New Roman" w:cs="Times New Roman"/>
          <w:color w:val="auto"/>
          <w:kern w:val="0"/>
          <w:sz w:val="32"/>
          <w:szCs w:val="32"/>
          <w:lang w:val="en-US" w:eastAsia="zh-CN" w:bidi="ar-SA"/>
        </w:rPr>
        <w:t>资金</w:t>
      </w:r>
      <w:r>
        <w:rPr>
          <w:rFonts w:hint="eastAsia" w:ascii="Times New Roman" w:hAnsi="Times New Roman" w:eastAsia="仿宋_GB2312" w:cs="Times New Roman"/>
          <w:color w:val="auto"/>
          <w:kern w:val="0"/>
          <w:sz w:val="32"/>
          <w:szCs w:val="32"/>
          <w:lang w:val="en-US" w:eastAsia="zh-CN" w:bidi="ar-SA"/>
        </w:rPr>
        <w:t>则写</w:t>
      </w:r>
      <w:r>
        <w:rPr>
          <w:rFonts w:hint="eastAsia" w:ascii="Times New Roman" w:hAnsi="Times New Roman" w:cs="Times New Roman"/>
          <w:color w:val="auto"/>
          <w:kern w:val="0"/>
          <w:sz w:val="32"/>
          <w:szCs w:val="32"/>
          <w:lang w:val="en-US" w:eastAsia="zh-CN" w:bidi="ar-SA"/>
        </w:rPr>
        <w:t>该项资金</w:t>
      </w:r>
      <w:r>
        <w:rPr>
          <w:rFonts w:hint="eastAsia" w:ascii="Times New Roman" w:hAnsi="Times New Roman" w:eastAsia="仿宋_GB2312" w:cs="Times New Roman"/>
          <w:color w:val="auto"/>
          <w:kern w:val="0"/>
          <w:sz w:val="32"/>
          <w:szCs w:val="32"/>
          <w:lang w:val="en-US" w:eastAsia="zh-CN" w:bidi="ar-SA"/>
        </w:rPr>
        <w:t>使用情况，反之则不写。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r>
        <w:rPr>
          <w:rFonts w:hint="default" w:ascii="仿宋_GB2312" w:eastAsia="仿宋_GB2312" w:cs="仿宋_GB2312"/>
          <w:i w:val="0"/>
          <w:iCs w:val="0"/>
          <w:caps w:val="0"/>
          <w:color w:val="000000"/>
          <w:spacing w:val="0"/>
          <w:sz w:val="32"/>
          <w:szCs w:val="32"/>
          <w:shd w:val="clear" w:fill="FFFFFF"/>
        </w:rPr>
        <w:t>反映自评得分及评价等级。</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县人社局整体支出绩效自评得分97.00分，评价等级为“优”。</w:t>
      </w:r>
    </w:p>
    <w:p>
      <w:pPr>
        <w:pStyle w:val="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评价指标分析（或综合评价情况）。</w:t>
      </w:r>
      <w:r>
        <w:rPr>
          <w:rFonts w:hint="eastAsia" w:ascii="仿宋" w:hAnsi="仿宋" w:eastAsia="仿宋" w:cs="仿宋"/>
          <w:i w:val="0"/>
          <w:iCs w:val="0"/>
          <w:caps w:val="0"/>
          <w:spacing w:val="0"/>
          <w:sz w:val="30"/>
          <w:szCs w:val="30"/>
          <w:shd w:val="clear" w:fill="FFFFFF"/>
        </w:rPr>
        <w:t xml:space="preserve">评价指标体系分为预算编制与执行、财务管理、部门履职、履职效益四个一级指标，下设 </w:t>
      </w:r>
      <w:r>
        <w:rPr>
          <w:rFonts w:hint="eastAsia" w:ascii="仿宋" w:hAnsi="仿宋" w:eastAsia="仿宋" w:cs="仿宋"/>
          <w:i w:val="0"/>
          <w:iCs w:val="0"/>
          <w:caps w:val="0"/>
          <w:spacing w:val="0"/>
          <w:sz w:val="30"/>
          <w:szCs w:val="30"/>
          <w:shd w:val="clear" w:fill="FFFFFF"/>
          <w:lang w:val="en-US" w:eastAsia="zh-CN"/>
        </w:rPr>
        <w:t>11</w:t>
      </w:r>
      <w:r>
        <w:rPr>
          <w:rFonts w:hint="eastAsia" w:ascii="仿宋" w:hAnsi="仿宋" w:eastAsia="仿宋" w:cs="仿宋"/>
          <w:i w:val="0"/>
          <w:iCs w:val="0"/>
          <w:caps w:val="0"/>
          <w:spacing w:val="0"/>
          <w:sz w:val="30"/>
          <w:szCs w:val="30"/>
          <w:shd w:val="clear" w:fill="FFFFFF"/>
        </w:rPr>
        <w:t xml:space="preserve">个二级指标和 </w:t>
      </w:r>
      <w:r>
        <w:rPr>
          <w:rFonts w:hint="eastAsia" w:ascii="仿宋" w:hAnsi="仿宋" w:eastAsia="仿宋" w:cs="仿宋"/>
          <w:i w:val="0"/>
          <w:iCs w:val="0"/>
          <w:caps w:val="0"/>
          <w:spacing w:val="0"/>
          <w:sz w:val="30"/>
          <w:szCs w:val="30"/>
          <w:shd w:val="clear" w:fill="FFFFFF"/>
          <w:lang w:val="en-US" w:eastAsia="zh-CN"/>
        </w:rPr>
        <w:t>11</w:t>
      </w:r>
      <w:r>
        <w:rPr>
          <w:rFonts w:hint="eastAsia" w:ascii="仿宋" w:hAnsi="仿宋" w:eastAsia="仿宋" w:cs="仿宋"/>
          <w:i w:val="0"/>
          <w:iCs w:val="0"/>
          <w:caps w:val="0"/>
          <w:spacing w:val="0"/>
          <w:sz w:val="30"/>
          <w:szCs w:val="30"/>
          <w:shd w:val="clear" w:fill="FFFFFF"/>
        </w:rPr>
        <w:t>个三级指标，各项指标均赋予相应的权重和评分标准。预算编制与执行指标主要考察预算编制的科学性、合理性以及预算执行的及时性和准确性；财务管理指标重点关注财务制度的健全性、资金使用的合规性以及财务监督的有效性；部门履职指标评价中心在养老、失业和工伤保县基金的支付、运营、管理及人事综合管理、绩效考核评估、就业创业促进、劳动关系构建和劳动争议处理等核心业务方面的完成情况；履职效益指标从经济效益、社会效益和社会满意度等维度衡量部门工作的综合效益。</w:t>
      </w:r>
      <w:bookmarkStart w:id="0" w:name="_GoBack"/>
      <w:bookmarkEnd w:id="0"/>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1、绩效目标设立不够明确、细化和量化。项目单位虽然设立了项目资金绩效目标，但目标不够明确、细化和量化。</w:t>
      </w:r>
    </w:p>
    <w:p>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default" w:ascii="仿宋_GB2312" w:eastAsia="仿宋_GB2312" w:cs="仿宋_GB2312"/>
          <w:i w:val="0"/>
          <w:iCs w:val="0"/>
          <w:caps w:val="0"/>
          <w:color w:val="000000"/>
          <w:spacing w:val="0"/>
          <w:sz w:val="32"/>
          <w:szCs w:val="32"/>
          <w:shd w:val="clear" w:fill="FFFFFF"/>
        </w:rPr>
      </w:pPr>
      <w:r>
        <w:rPr>
          <w:rFonts w:hint="eastAsia" w:ascii="仿宋" w:hAnsi="仿宋" w:eastAsia="仿宋" w:cs="仿宋"/>
          <w:color w:val="auto"/>
          <w:kern w:val="0"/>
          <w:sz w:val="30"/>
          <w:szCs w:val="30"/>
          <w:lang w:val="en-US" w:eastAsia="zh-CN" w:bidi="ar-SA"/>
        </w:rPr>
        <w:t>2、财政预算资金安排不足，比如专项经费的预算，因无法纳入财政预算而导致预算数和决算数相差较大；工资的政策性调整，年初未列入预算，而实际工资福利支出增加。</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八、下一步改进措施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firstLine="600" w:firstLineChars="200"/>
        <w:jc w:val="both"/>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1. 加强单位预算编制工作，根据人员情况、业务开展需要，逐项作出预算计划，预算合理、不留缺口、不留空项。 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firstLine="600" w:firstLineChars="200"/>
        <w:jc w:val="both"/>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2. 加强业务培训，提高评价水平。部门整体绩效评价工作是一项长期性的工作，专业性强，工作量大，建议上级部门多开展部门领导及经办人员相关的政策、业务工作培训，组织开展部门之间、单位之间的经验交流，切实推进绩效评价工作的开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0" w:beforeAutospacing="0" w:after="0" w:afterLines="0" w:afterAutospacing="0" w:line="500" w:lineRule="exact"/>
        <w:ind w:right="0" w:firstLine="600" w:firstLineChars="200"/>
        <w:jc w:val="both"/>
        <w:textAlignment w:val="auto"/>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bidi="ar-SA"/>
        </w:rPr>
        <w:t>3.预算财务分析常态化，定期做好预算支出财务分析，做好部门整体支出预算评价工作。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九、其他需要说明的情况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00" w:firstLineChars="200"/>
        <w:textAlignment w:val="auto"/>
        <w:rPr>
          <w:rFonts w:hint="eastAsia" w:ascii="黑体" w:hAnsi="黑体" w:eastAsia="黑体" w:cs="黑体"/>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0"/>
          <w:szCs w:val="30"/>
          <w:shd w:val="clear" w:fill="FFFFFF"/>
          <w:lang w:val="en-US" w:eastAsia="zh-CN"/>
        </w:rPr>
        <w:t>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60B7"/>
    <w:multiLevelType w:val="singleLevel"/>
    <w:tmpl w:val="312060B7"/>
    <w:lvl w:ilvl="0" w:tentative="0">
      <w:start w:val="3"/>
      <w:numFmt w:val="chineseCounting"/>
      <w:suff w:val="nothing"/>
      <w:lvlText w:val="%1、"/>
      <w:lvlJc w:val="left"/>
      <w:rPr>
        <w:rFonts w:hint="eastAsia"/>
      </w:rPr>
    </w:lvl>
  </w:abstractNum>
  <w:abstractNum w:abstractNumId="1">
    <w:nsid w:val="7EC27127"/>
    <w:multiLevelType w:val="singleLevel"/>
    <w:tmpl w:val="7EC2712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NzQ2MjQ5NDkyMDRkYzkzMWFkMjIxOTZlMDdjMzQifQ=="/>
    <w:docVar w:name="KSO_WPS_MARK_KEY" w:val="2cad2da4-8c74-4208-b950-09c4ddb6f378"/>
  </w:docVars>
  <w:rsids>
    <w:rsidRoot w:val="00000000"/>
    <w:rsid w:val="129640D0"/>
    <w:rsid w:val="1EA33F65"/>
    <w:rsid w:val="269E5DD8"/>
    <w:rsid w:val="2D5F302E"/>
    <w:rsid w:val="32636C88"/>
    <w:rsid w:val="4B72396B"/>
    <w:rsid w:val="545968FB"/>
    <w:rsid w:val="75DD1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customStyle="1" w:styleId="3">
    <w:name w:val="UserStyle_0"/>
    <w:basedOn w:val="4"/>
    <w:next w:val="1"/>
    <w:qFormat/>
    <w:uiPriority w:val="99"/>
    <w:pPr>
      <w:ind w:left="800" w:leftChars="800"/>
      <w:textAlignment w:val="baseline"/>
    </w:pPr>
  </w:style>
  <w:style w:type="paragraph" w:customStyle="1" w:styleId="4">
    <w:name w:val="正文 New"/>
    <w:next w:val="5"/>
    <w:qFormat/>
    <w:uiPriority w:val="0"/>
    <w:pPr>
      <w:jc w:val="both"/>
      <w:textAlignment w:val="baseline"/>
    </w:pPr>
    <w:rPr>
      <w:rFonts w:ascii="Times New Roman" w:hAnsi="Times New Roman" w:eastAsia="宋体" w:cs="黑体"/>
      <w:kern w:val="2"/>
      <w:sz w:val="21"/>
      <w:szCs w:val="24"/>
      <w:lang w:val="en-US" w:eastAsia="zh-CN" w:bidi="ar-SA"/>
    </w:rPr>
  </w:style>
  <w:style w:type="paragraph" w:customStyle="1" w:styleId="5">
    <w:name w:val="页脚 New"/>
    <w:basedOn w:val="4"/>
    <w:next w:val="3"/>
    <w:qFormat/>
    <w:uiPriority w:val="0"/>
    <w:pPr>
      <w:tabs>
        <w:tab w:val="center" w:pos="4153"/>
        <w:tab w:val="right" w:pos="8306"/>
      </w:tabs>
      <w:snapToGrid w:val="0"/>
      <w:spacing w:line="240" w:lineRule="auto"/>
      <w:jc w:val="left"/>
      <w:textAlignment w:val="baseline"/>
    </w:pPr>
    <w:rPr>
      <w:rFonts w:ascii="Calibri" w:hAnsi="Calibri" w:eastAsia="宋体"/>
      <w:kern w:val="2"/>
      <w:sz w:val="18"/>
      <w:szCs w:val="24"/>
      <w:lang w:val="en-US" w:eastAsia="zh-C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2551</Words>
  <Characters>2668</Characters>
  <Lines>0</Lines>
  <Paragraphs>0</Paragraphs>
  <TotalTime>4</TotalTime>
  <ScaleCrop>false</ScaleCrop>
  <LinksUpToDate>false</LinksUpToDate>
  <CharactersWithSpaces>2687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陈琪</cp:lastModifiedBy>
  <cp:lastPrinted>2025-04-14T01:08:00Z</cp:lastPrinted>
  <dcterms:modified xsi:type="dcterms:W3CDTF">2025-04-14T03:18:46Z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6C1FF18C1F4C43F690C84DCDEF9C0A8F</vt:lpwstr>
  </property>
</Properties>
</file>