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E127B">
      <w:pPr>
        <w:spacing w:line="600" w:lineRule="exact"/>
        <w:rPr>
          <w:rFonts w:ascii="Times New Roman" w:hAnsi="Times New Roman" w:eastAsia="黑体" w:cs="Times New Roman"/>
          <w:sz w:val="32"/>
          <w:szCs w:val="32"/>
        </w:rPr>
      </w:pPr>
    </w:p>
    <w:p w14:paraId="18069CFF">
      <w:pPr>
        <w:spacing w:line="600" w:lineRule="exact"/>
        <w:rPr>
          <w:rFonts w:ascii="Times New Roman" w:hAnsi="Times New Roman" w:eastAsia="黑体" w:cs="Times New Roman"/>
          <w:sz w:val="32"/>
          <w:szCs w:val="32"/>
        </w:rPr>
      </w:pPr>
    </w:p>
    <w:p w14:paraId="3C8B6B39">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sz w:val="52"/>
          <w:szCs w:val="52"/>
        </w:rPr>
        <w:t>自然资源局</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14:paraId="5AD0EFEF">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5CA1D24">
      <w:pPr>
        <w:jc w:val="center"/>
        <w:rPr>
          <w:rFonts w:ascii="Times New Roman" w:hAnsi="Times New Roman" w:eastAsia="方正小标宋_GBK" w:cs="Times New Roman"/>
          <w:b/>
          <w:sz w:val="52"/>
          <w:szCs w:val="52"/>
        </w:rPr>
      </w:pPr>
    </w:p>
    <w:p w14:paraId="103FF865">
      <w:pPr>
        <w:jc w:val="center"/>
        <w:rPr>
          <w:rFonts w:ascii="Times New Roman" w:hAnsi="Times New Roman" w:eastAsia="黑体" w:cs="Times New Roman"/>
          <w:sz w:val="32"/>
          <w:szCs w:val="32"/>
        </w:rPr>
      </w:pPr>
    </w:p>
    <w:p w14:paraId="17417A5F">
      <w:pPr>
        <w:jc w:val="center"/>
        <w:rPr>
          <w:rFonts w:ascii="Times New Roman" w:hAnsi="Times New Roman" w:eastAsia="黑体" w:cs="Times New Roman"/>
          <w:sz w:val="32"/>
          <w:szCs w:val="32"/>
        </w:rPr>
      </w:pPr>
    </w:p>
    <w:p w14:paraId="05ADEF66">
      <w:pPr>
        <w:jc w:val="center"/>
        <w:rPr>
          <w:rFonts w:ascii="Times New Roman" w:hAnsi="Times New Roman" w:eastAsia="黑体" w:cs="Times New Roman"/>
          <w:sz w:val="32"/>
          <w:szCs w:val="32"/>
        </w:rPr>
      </w:pPr>
    </w:p>
    <w:p w14:paraId="1368DAE3">
      <w:pPr>
        <w:jc w:val="center"/>
        <w:rPr>
          <w:rFonts w:ascii="Times New Roman" w:hAnsi="Times New Roman" w:eastAsia="黑体" w:cs="Times New Roman"/>
          <w:sz w:val="32"/>
          <w:szCs w:val="32"/>
        </w:rPr>
      </w:pPr>
    </w:p>
    <w:p w14:paraId="0688CAA0">
      <w:pPr>
        <w:jc w:val="center"/>
        <w:rPr>
          <w:rFonts w:ascii="Times New Roman" w:hAnsi="Times New Roman" w:eastAsia="黑体" w:cs="Times New Roman"/>
          <w:sz w:val="32"/>
          <w:szCs w:val="32"/>
        </w:rPr>
      </w:pPr>
    </w:p>
    <w:p w14:paraId="60CBE278">
      <w:pPr>
        <w:jc w:val="center"/>
        <w:rPr>
          <w:rFonts w:ascii="Times New Roman" w:hAnsi="Times New Roman" w:eastAsia="黑体" w:cs="Times New Roman"/>
          <w:sz w:val="32"/>
          <w:szCs w:val="32"/>
        </w:rPr>
      </w:pPr>
    </w:p>
    <w:p w14:paraId="32D3BC05">
      <w:pPr>
        <w:jc w:val="center"/>
        <w:rPr>
          <w:rFonts w:ascii="Times New Roman" w:hAnsi="Times New Roman" w:eastAsia="黑体" w:cs="Times New Roman"/>
          <w:sz w:val="32"/>
          <w:szCs w:val="32"/>
        </w:rPr>
      </w:pPr>
    </w:p>
    <w:p w14:paraId="55A0B48A">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764CA89D">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14 </w:t>
      </w:r>
      <w:r>
        <w:rPr>
          <w:rFonts w:hint="eastAsia" w:ascii="仿宋" w:hAnsi="仿宋" w:eastAsia="仿宋" w:cs="仿宋"/>
          <w:sz w:val="40"/>
          <w:szCs w:val="40"/>
        </w:rPr>
        <w:t>日</w:t>
      </w:r>
    </w:p>
    <w:p w14:paraId="3EDC1EFB"/>
    <w:p w14:paraId="40E1E1D8"/>
    <w:p w14:paraId="5D9349AE"/>
    <w:p w14:paraId="737F0977"/>
    <w:p w14:paraId="49FEF113"/>
    <w:p w14:paraId="37C4B04C"/>
    <w:p w14:paraId="36A26887"/>
    <w:p w14:paraId="7554C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6F804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xx</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65C44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（参考提纲）</w:t>
      </w:r>
    </w:p>
    <w:p w14:paraId="4F0B4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0C94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793BE87D">
      <w:pPr>
        <w:spacing w:after="156" w:afterLines="50" w:line="360" w:lineRule="auto"/>
        <w:ind w:firstLine="640" w:firstLineChars="200"/>
        <w:rPr>
          <w:rFonts w:ascii="仿宋" w:hAnsi="仿宋" w:eastAsia="仿宋"/>
          <w:sz w:val="32"/>
          <w:szCs w:val="32"/>
        </w:rPr>
      </w:pPr>
      <w:r>
        <w:rPr>
          <w:rFonts w:hint="default" w:ascii="楷体_GB2312" w:eastAsia="楷体_GB2312" w:cs="楷体_GB2312"/>
          <w:i w:val="0"/>
          <w:iCs w:val="0"/>
          <w:caps w:val="0"/>
          <w:color w:val="000000"/>
          <w:spacing w:val="0"/>
          <w:sz w:val="32"/>
          <w:szCs w:val="32"/>
          <w:shd w:val="clear" w:fill="FFFFFF"/>
        </w:rPr>
        <w:t>（一）机构设置情况</w:t>
      </w:r>
      <w:r>
        <w:rPr>
          <w:rFonts w:hint="eastAsia" w:ascii="仿宋" w:hAnsi="仿宋" w:eastAsia="仿宋"/>
          <w:sz w:val="32"/>
          <w:szCs w:val="32"/>
        </w:rPr>
        <w:t>自然资源局内设办公室、党建办、政工股、法规信访股、财务审计股、自然资源局调查监测股、自然资源确权登记股、自然资源所有者权益与开发利用股、国土空间规划股、国土空间用途管制股、建设项目工程股、生态修复股、耕地保护监督股、矿产资源保护监督股、国土测绘股、自然资源督察股、行政审批和政务信息服务股等17个股室。下设土地开发整理储备中心、征地拆迁办公室、国土资源执法监察大队、自然资源服务中心、不动产登记中心、不动产交易中心和不动产测绘队7个二级机构。</w:t>
      </w:r>
    </w:p>
    <w:p w14:paraId="24039227">
      <w:pPr>
        <w:spacing w:after="156" w:afterLines="50" w:line="360" w:lineRule="auto"/>
        <w:ind w:firstLine="640" w:firstLineChars="200"/>
        <w:rPr>
          <w:rFonts w:ascii="仿宋" w:hAnsi="仿宋" w:eastAsia="仿宋"/>
          <w:sz w:val="32"/>
          <w:szCs w:val="32"/>
        </w:rPr>
      </w:pPr>
      <w:r>
        <w:rPr>
          <w:rFonts w:hint="default" w:ascii="楷体_GB2312" w:eastAsia="楷体_GB2312" w:cs="楷体_GB2312"/>
          <w:i w:val="0"/>
          <w:iCs w:val="0"/>
          <w:caps w:val="0"/>
          <w:color w:val="000000"/>
          <w:spacing w:val="0"/>
          <w:sz w:val="32"/>
          <w:szCs w:val="32"/>
          <w:shd w:val="clear" w:fill="FFFFFF"/>
        </w:rPr>
        <w:t>（二）人员编制情况</w:t>
      </w:r>
      <w:r>
        <w:rPr>
          <w:rFonts w:hint="eastAsia" w:ascii="仿宋" w:hAnsi="仿宋" w:eastAsia="仿宋"/>
          <w:sz w:val="32"/>
          <w:szCs w:val="32"/>
        </w:rPr>
        <w:t>年末我局实有人数10</w:t>
      </w:r>
      <w:r>
        <w:rPr>
          <w:rFonts w:hint="eastAsia" w:ascii="仿宋" w:hAnsi="仿宋" w:eastAsia="仿宋"/>
          <w:sz w:val="32"/>
          <w:szCs w:val="32"/>
          <w:lang w:val="en-US" w:eastAsia="zh-CN"/>
        </w:rPr>
        <w:t>3</w:t>
      </w:r>
      <w:r>
        <w:rPr>
          <w:rFonts w:hint="eastAsia" w:ascii="仿宋" w:hAnsi="仿宋" w:eastAsia="仿宋"/>
          <w:sz w:val="32"/>
          <w:szCs w:val="32"/>
        </w:rPr>
        <w:t>人，编制人数为95人，其中财政供养人员：机关15人，土地储备中心4人、征地拆迁办12人，不动产登记中心25人，服务中心</w:t>
      </w:r>
      <w:r>
        <w:rPr>
          <w:rFonts w:hint="eastAsia" w:ascii="仿宋" w:hAnsi="仿宋" w:eastAsia="仿宋"/>
          <w:sz w:val="32"/>
          <w:szCs w:val="32"/>
          <w:lang w:val="en-US" w:eastAsia="zh-CN"/>
        </w:rPr>
        <w:t>35</w:t>
      </w:r>
      <w:r>
        <w:rPr>
          <w:rFonts w:hint="eastAsia" w:ascii="仿宋" w:hAnsi="仿宋" w:eastAsia="仿宋"/>
          <w:sz w:val="32"/>
          <w:szCs w:val="32"/>
        </w:rPr>
        <w:t>人，自收自支1</w:t>
      </w:r>
      <w:r>
        <w:rPr>
          <w:rFonts w:hint="eastAsia" w:ascii="仿宋" w:hAnsi="仿宋" w:eastAsia="仿宋"/>
          <w:sz w:val="32"/>
          <w:szCs w:val="32"/>
          <w:lang w:val="en-US" w:eastAsia="zh-CN"/>
        </w:rPr>
        <w:t>2</w:t>
      </w:r>
      <w:r>
        <w:rPr>
          <w:rFonts w:hint="eastAsia" w:ascii="仿宋" w:hAnsi="仿宋" w:eastAsia="仿宋"/>
          <w:sz w:val="32"/>
          <w:szCs w:val="32"/>
        </w:rPr>
        <w:t>人。</w:t>
      </w:r>
      <w:bookmarkStart w:id="0" w:name="_GoBack"/>
      <w:bookmarkEnd w:id="0"/>
    </w:p>
    <w:p w14:paraId="305CAA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14:paraId="4E836F83">
      <w:pPr>
        <w:widowControl/>
        <w:spacing w:line="560" w:lineRule="exact"/>
        <w:ind w:firstLine="645"/>
        <w:jc w:val="left"/>
        <w:rPr>
          <w:rFonts w:ascii="仿宋" w:hAnsi="仿宋" w:eastAsia="仿宋"/>
          <w:sz w:val="32"/>
          <w:szCs w:val="32"/>
        </w:rPr>
      </w:pPr>
      <w:r>
        <w:rPr>
          <w:rFonts w:hint="default" w:ascii="楷体_GB2312" w:eastAsia="楷体_GB2312" w:cs="楷体_GB2312"/>
          <w:i w:val="0"/>
          <w:iCs w:val="0"/>
          <w:caps w:val="0"/>
          <w:color w:val="000000"/>
          <w:spacing w:val="0"/>
          <w:sz w:val="32"/>
          <w:szCs w:val="32"/>
          <w:shd w:val="clear" w:fill="FFFFFF"/>
        </w:rPr>
        <w:t>（三）主要职能职责</w:t>
      </w:r>
      <w:r>
        <w:rPr>
          <w:rFonts w:ascii="仿宋" w:hAnsi="仿宋" w:eastAsia="仿宋"/>
          <w:sz w:val="32"/>
          <w:szCs w:val="32"/>
        </w:rPr>
        <w:t>（1）承担宣传、贯彻和执行党中央、国务院、省、市、县 关于自然资源和国土空间规划方面的方针、政策和法律法规</w:t>
      </w:r>
      <w:r>
        <w:rPr>
          <w:rFonts w:hint="eastAsia" w:ascii="仿宋" w:hAnsi="仿宋" w:eastAsia="仿宋"/>
          <w:sz w:val="32"/>
          <w:szCs w:val="32"/>
        </w:rPr>
        <w:t>，</w:t>
      </w:r>
      <w:r>
        <w:rPr>
          <w:rFonts w:ascii="仿宋" w:hAnsi="仿宋" w:eastAsia="仿宋"/>
          <w:sz w:val="32"/>
          <w:szCs w:val="32"/>
        </w:rPr>
        <w:t>（2）履行全民所有土地、矿产、森林、草原、湿地、水等 自然资源资产所有者职责和所有国土空间用用途管制职</w:t>
      </w:r>
      <w:r>
        <w:rPr>
          <w:rFonts w:hint="eastAsia" w:ascii="仿宋" w:hAnsi="仿宋" w:eastAsia="仿宋"/>
          <w:sz w:val="32"/>
          <w:szCs w:val="32"/>
        </w:rPr>
        <w:t>能，</w:t>
      </w:r>
      <w:r>
        <w:rPr>
          <w:rFonts w:ascii="仿宋" w:hAnsi="仿宋" w:eastAsia="仿宋"/>
          <w:sz w:val="32"/>
          <w:szCs w:val="32"/>
        </w:rPr>
        <w:t>（3）负责自然资源调查监测评</w:t>
      </w:r>
      <w:r>
        <w:rPr>
          <w:rFonts w:hint="eastAsia" w:ascii="仿宋" w:hAnsi="仿宋" w:eastAsia="仿宋"/>
          <w:sz w:val="32"/>
          <w:szCs w:val="32"/>
        </w:rPr>
        <w:t>估，</w:t>
      </w:r>
      <w:r>
        <w:rPr>
          <w:rFonts w:ascii="仿宋" w:hAnsi="仿宋" w:eastAsia="仿宋"/>
          <w:sz w:val="32"/>
          <w:szCs w:val="32"/>
        </w:rPr>
        <w:t>（4）负责自然资源统一确权登记工</w:t>
      </w:r>
      <w:r>
        <w:rPr>
          <w:rFonts w:hint="eastAsia" w:ascii="仿宋" w:hAnsi="仿宋" w:eastAsia="仿宋"/>
          <w:sz w:val="32"/>
          <w:szCs w:val="32"/>
        </w:rPr>
        <w:t>作，</w:t>
      </w:r>
      <w:r>
        <w:rPr>
          <w:rFonts w:ascii="仿宋" w:hAnsi="仿宋" w:eastAsia="仿宋"/>
          <w:sz w:val="32"/>
          <w:szCs w:val="32"/>
        </w:rPr>
        <w:t>（5）负责自然资源资产有偿使用工</w:t>
      </w:r>
      <w:r>
        <w:rPr>
          <w:rFonts w:hint="eastAsia" w:ascii="仿宋" w:hAnsi="仿宋" w:eastAsia="仿宋"/>
          <w:sz w:val="32"/>
          <w:szCs w:val="32"/>
        </w:rPr>
        <w:t>作，</w:t>
      </w:r>
      <w:r>
        <w:rPr>
          <w:rFonts w:ascii="仿宋" w:hAnsi="仿宋" w:eastAsia="仿宋"/>
          <w:sz w:val="32"/>
          <w:szCs w:val="32"/>
        </w:rPr>
        <w:t>（6）负责自然资源的合理开发利</w:t>
      </w:r>
      <w:r>
        <w:rPr>
          <w:rFonts w:hint="eastAsia" w:ascii="仿宋" w:hAnsi="仿宋" w:eastAsia="仿宋"/>
          <w:sz w:val="32"/>
          <w:szCs w:val="32"/>
        </w:rPr>
        <w:t>用，</w:t>
      </w:r>
      <w:r>
        <w:rPr>
          <w:rFonts w:ascii="仿宋" w:hAnsi="仿宋" w:eastAsia="仿宋"/>
          <w:sz w:val="32"/>
          <w:szCs w:val="32"/>
        </w:rPr>
        <w:t>（7）负责建立全县空间规划体系并监督实</w:t>
      </w:r>
      <w:r>
        <w:rPr>
          <w:rFonts w:hint="eastAsia" w:ascii="仿宋" w:hAnsi="仿宋" w:eastAsia="仿宋"/>
          <w:sz w:val="32"/>
          <w:szCs w:val="32"/>
        </w:rPr>
        <w:t>施，</w:t>
      </w:r>
      <w:r>
        <w:rPr>
          <w:rFonts w:ascii="仿宋" w:hAnsi="仿宋" w:eastAsia="仿宋"/>
          <w:sz w:val="32"/>
          <w:szCs w:val="32"/>
        </w:rPr>
        <w:t>（8）负责统筹全县国土空间生态修</w:t>
      </w:r>
      <w:r>
        <w:rPr>
          <w:rFonts w:hint="eastAsia" w:ascii="仿宋" w:hAnsi="仿宋" w:eastAsia="仿宋"/>
          <w:sz w:val="32"/>
          <w:szCs w:val="32"/>
        </w:rPr>
        <w:t>复工作，</w:t>
      </w:r>
      <w:r>
        <w:rPr>
          <w:rFonts w:ascii="仿宋" w:hAnsi="仿宋" w:eastAsia="仿宋"/>
          <w:sz w:val="32"/>
          <w:szCs w:val="32"/>
        </w:rPr>
        <w:t>（9）负责组织实施最严格的耕地保护制</w:t>
      </w:r>
      <w:r>
        <w:rPr>
          <w:rFonts w:hint="eastAsia" w:ascii="仿宋" w:hAnsi="仿宋" w:eastAsia="仿宋"/>
          <w:sz w:val="32"/>
          <w:szCs w:val="32"/>
        </w:rPr>
        <w:t>度，</w:t>
      </w:r>
      <w:r>
        <w:rPr>
          <w:rFonts w:ascii="仿宋" w:hAnsi="仿宋" w:eastAsia="仿宋"/>
          <w:sz w:val="32"/>
          <w:szCs w:val="32"/>
        </w:rPr>
        <w:t>（10）负责管理地质勘查行业和地质工</w:t>
      </w:r>
      <w:r>
        <w:rPr>
          <w:rFonts w:hint="eastAsia" w:ascii="仿宋" w:hAnsi="仿宋" w:eastAsia="仿宋"/>
          <w:sz w:val="32"/>
          <w:szCs w:val="32"/>
        </w:rPr>
        <w:t>作，</w:t>
      </w:r>
      <w:r>
        <w:rPr>
          <w:rFonts w:ascii="仿宋" w:hAnsi="仿宋" w:eastAsia="仿宋"/>
          <w:sz w:val="32"/>
          <w:szCs w:val="32"/>
        </w:rPr>
        <w:t>（11）负责落实综合防灾减灾规划相关要求，组织编制全县地质灾害防治规划并指导实施，执行国家防护标</w:t>
      </w:r>
      <w:r>
        <w:rPr>
          <w:rFonts w:hint="eastAsia" w:ascii="仿宋" w:hAnsi="仿宋" w:eastAsia="仿宋"/>
          <w:sz w:val="32"/>
          <w:szCs w:val="32"/>
        </w:rPr>
        <w:t>准，</w:t>
      </w:r>
      <w:r>
        <w:rPr>
          <w:rFonts w:ascii="仿宋" w:hAnsi="仿宋" w:eastAsia="仿宋"/>
          <w:sz w:val="32"/>
          <w:szCs w:val="32"/>
        </w:rPr>
        <w:t>（12）负责矿产资源管理工</w:t>
      </w:r>
      <w:r>
        <w:rPr>
          <w:rFonts w:hint="eastAsia" w:ascii="仿宋" w:hAnsi="仿宋" w:eastAsia="仿宋"/>
          <w:sz w:val="32"/>
          <w:szCs w:val="32"/>
        </w:rPr>
        <w:t>作，</w:t>
      </w:r>
      <w:r>
        <w:rPr>
          <w:rFonts w:ascii="仿宋" w:hAnsi="仿宋" w:eastAsia="仿宋"/>
          <w:sz w:val="32"/>
          <w:szCs w:val="32"/>
        </w:rPr>
        <w:t>（13）负责测绘地理信息管理工</w:t>
      </w:r>
      <w:r>
        <w:rPr>
          <w:rFonts w:hint="eastAsia" w:ascii="仿宋" w:hAnsi="仿宋" w:eastAsia="仿宋"/>
          <w:sz w:val="32"/>
          <w:szCs w:val="32"/>
        </w:rPr>
        <w:t>作，</w:t>
      </w:r>
      <w:r>
        <w:rPr>
          <w:rFonts w:ascii="仿宋" w:hAnsi="仿宋" w:eastAsia="仿宋"/>
          <w:sz w:val="32"/>
          <w:szCs w:val="32"/>
        </w:rPr>
        <w:t>（14）推动自然资源领域科技发展等工作。</w:t>
      </w:r>
    </w:p>
    <w:p w14:paraId="0ABE5E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14:paraId="28B4E703">
      <w:pPr>
        <w:widowControl/>
        <w:numPr>
          <w:ilvl w:val="0"/>
          <w:numId w:val="1"/>
        </w:numPr>
        <w:spacing w:line="560" w:lineRule="exact"/>
        <w:ind w:firstLine="645"/>
        <w:jc w:val="lef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63009E7B">
      <w:pPr>
        <w:widowControl/>
        <w:numPr>
          <w:ilvl w:val="0"/>
          <w:numId w:val="0"/>
        </w:numPr>
        <w:spacing w:line="560" w:lineRule="exact"/>
        <w:ind w:firstLine="640" w:firstLineChars="200"/>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1.202</w:t>
      </w:r>
      <w:r>
        <w:rPr>
          <w:rFonts w:hint="eastAsia" w:ascii="仿宋" w:hAnsi="仿宋" w:eastAsia="仿宋" w:cs="仿宋"/>
          <w:color w:val="000000"/>
          <w:kern w:val="0"/>
          <w:sz w:val="32"/>
          <w:szCs w:val="32"/>
          <w:shd w:val="clear" w:color="auto" w:fill="FFFFFF"/>
          <w:lang w:val="en-US" w:eastAsia="zh-CN" w:bidi="ar"/>
        </w:rPr>
        <w:t>4</w:t>
      </w:r>
      <w:r>
        <w:rPr>
          <w:rFonts w:hint="eastAsia" w:ascii="仿宋" w:hAnsi="仿宋" w:eastAsia="仿宋" w:cs="仿宋"/>
          <w:color w:val="000000"/>
          <w:kern w:val="0"/>
          <w:sz w:val="32"/>
          <w:szCs w:val="32"/>
          <w:shd w:val="clear" w:color="auto" w:fill="FFFFFF"/>
          <w:lang w:bidi="ar"/>
        </w:rPr>
        <w:t>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98分，评价等级“优”。</w:t>
      </w:r>
    </w:p>
    <w:p w14:paraId="4583CF8F">
      <w:pPr>
        <w:widowControl/>
        <w:spacing w:line="560" w:lineRule="exact"/>
        <w:ind w:firstLine="645"/>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2.我单位按规定在政府门户网站公开了绩效自评的相关信息，数据真实、完整、准确。</w:t>
      </w:r>
    </w:p>
    <w:p w14:paraId="074A1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14:paraId="658C957A">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4ADED259">
      <w:pPr>
        <w:pStyle w:val="5"/>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1182F97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3C66BE9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1958.48</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1958.48</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1958.48</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1019.84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938.64</w:t>
      </w:r>
      <w:r>
        <w:rPr>
          <w:rFonts w:hint="default" w:ascii="Times New Roman" w:hAnsi="Times New Roman" w:eastAsia="仿宋_GB2312" w:cs="Times New Roman"/>
          <w:sz w:val="32"/>
          <w:szCs w:val="32"/>
          <w:lang w:eastAsia="zh-CN"/>
        </w:rPr>
        <w:t>万元。</w:t>
      </w:r>
    </w:p>
    <w:p w14:paraId="3BC14EC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045A42A5">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15003.61</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13046.13</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15003.61</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2417.06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16</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12586.55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84</w:t>
      </w:r>
      <w:r>
        <w:rPr>
          <w:rFonts w:hint="default" w:ascii="Times New Roman" w:hAnsi="Times New Roman" w:eastAsia="仿宋_GB2312" w:cs="Times New Roman"/>
          <w:sz w:val="32"/>
          <w:szCs w:val="32"/>
          <w:lang w:eastAsia="zh-CN"/>
        </w:rPr>
        <w:t>％。差异产生的主要原因是</w:t>
      </w:r>
      <w:r>
        <w:rPr>
          <w:rFonts w:hint="eastAsia"/>
          <w:sz w:val="32"/>
          <w:szCs w:val="32"/>
        </w:rPr>
        <w:t>增加增减挂钩工作，耕地保护，地质灾害防治</w:t>
      </w:r>
      <w:r>
        <w:rPr>
          <w:rFonts w:hint="eastAsia"/>
          <w:sz w:val="32"/>
          <w:szCs w:val="32"/>
          <w:lang w:eastAsia="zh-CN"/>
        </w:rPr>
        <w:t>，空间规划、收购国有土地使权价款</w:t>
      </w:r>
      <w:r>
        <w:rPr>
          <w:rFonts w:hint="eastAsia"/>
          <w:sz w:val="32"/>
          <w:szCs w:val="32"/>
        </w:rPr>
        <w:t>等方面</w:t>
      </w:r>
      <w:r>
        <w:rPr>
          <w:rFonts w:hint="eastAsia"/>
          <w:sz w:val="32"/>
          <w:szCs w:val="32"/>
          <w:lang w:eastAsia="zh-CN"/>
        </w:rPr>
        <w:t>专项</w:t>
      </w:r>
      <w:r>
        <w:rPr>
          <w:rFonts w:hint="eastAsia"/>
          <w:sz w:val="32"/>
          <w:szCs w:val="32"/>
        </w:rPr>
        <w:t>经费</w:t>
      </w:r>
      <w:r>
        <w:rPr>
          <w:sz w:val="32"/>
          <w:szCs w:val="32"/>
        </w:rPr>
        <w:t>。</w:t>
      </w:r>
    </w:p>
    <w:p w14:paraId="5AEC5784">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4AF84225">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35695814">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43</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33</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40.98</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3</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10</w:t>
      </w:r>
      <w:r>
        <w:rPr>
          <w:rFonts w:hint="default" w:ascii="Times New Roman" w:hAnsi="Times New Roman" w:eastAsia="仿宋_GB2312" w:cs="Times New Roman"/>
          <w:sz w:val="32"/>
          <w:szCs w:val="32"/>
          <w:lang w:eastAsia="zh-CN"/>
        </w:rPr>
        <w:t>万元。</w:t>
      </w:r>
    </w:p>
    <w:p w14:paraId="436DA48D">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52C28DC3">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1075.38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257.45万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817.93</w:t>
      </w:r>
      <w:r>
        <w:rPr>
          <w:rFonts w:hint="default" w:ascii="Times New Roman" w:hAnsi="Times New Roman" w:eastAsia="仿宋_GB2312" w:cs="Times New Roman"/>
          <w:sz w:val="32"/>
          <w:szCs w:val="32"/>
          <w:lang w:eastAsia="zh-CN"/>
        </w:rPr>
        <w:t>万元。</w:t>
      </w:r>
    </w:p>
    <w:p w14:paraId="57EAD3EB">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kern w:val="0"/>
          <w:sz w:val="32"/>
          <w:szCs w:val="32"/>
        </w:rPr>
        <w:t>202</w:t>
      </w:r>
      <w:r>
        <w:rPr>
          <w:rFonts w:hint="eastAsia"/>
          <w:kern w:val="0"/>
          <w:sz w:val="32"/>
          <w:szCs w:val="32"/>
          <w:lang w:val="en-US" w:eastAsia="zh-CN"/>
        </w:rPr>
        <w:t>4</w:t>
      </w:r>
      <w:r>
        <w:rPr>
          <w:rFonts w:hint="eastAsia"/>
          <w:kern w:val="0"/>
          <w:sz w:val="32"/>
          <w:szCs w:val="32"/>
        </w:rPr>
        <w:t>年度政府性基金拨款年初结转和结余0万元，本年收入</w:t>
      </w:r>
      <w:r>
        <w:rPr>
          <w:rFonts w:hint="eastAsia"/>
          <w:kern w:val="0"/>
          <w:sz w:val="32"/>
          <w:szCs w:val="32"/>
          <w:lang w:val="en-US" w:eastAsia="zh-CN"/>
        </w:rPr>
        <w:t>2057.23</w:t>
      </w:r>
      <w:r>
        <w:rPr>
          <w:rFonts w:hint="eastAsia"/>
          <w:kern w:val="0"/>
          <w:sz w:val="32"/>
          <w:szCs w:val="32"/>
        </w:rPr>
        <w:t>万元，本年支出</w:t>
      </w:r>
      <w:r>
        <w:rPr>
          <w:rFonts w:hint="eastAsia"/>
          <w:kern w:val="0"/>
          <w:sz w:val="32"/>
          <w:szCs w:val="32"/>
          <w:lang w:val="en-US" w:eastAsia="zh-CN"/>
        </w:rPr>
        <w:t>2057.23</w:t>
      </w:r>
      <w:r>
        <w:rPr>
          <w:rFonts w:hint="eastAsia"/>
          <w:kern w:val="0"/>
          <w:sz w:val="32"/>
          <w:szCs w:val="32"/>
        </w:rPr>
        <w:t>万元，年末结转和结余0万元</w:t>
      </w:r>
    </w:p>
    <w:p w14:paraId="05F7D2DC">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r>
        <w:rPr>
          <w:rFonts w:hint="eastAsia" w:ascii="黑体" w:hAnsi="黑体" w:eastAsia="黑体" w:cs="黑体"/>
          <w:i w:val="0"/>
          <w:iCs w:val="0"/>
          <w:caps w:val="0"/>
          <w:color w:val="000000"/>
          <w:spacing w:val="0"/>
          <w:sz w:val="32"/>
          <w:szCs w:val="32"/>
          <w:shd w:val="clear" w:fill="FFFFFF"/>
          <w:lang w:val="en-US" w:eastAsia="zh-CN"/>
        </w:rPr>
        <w:t xml:space="preserve"> </w:t>
      </w:r>
    </w:p>
    <w:p w14:paraId="2F7719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无</w:t>
      </w:r>
    </w:p>
    <w:p w14:paraId="3CB9D0BB">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黑体" w:hAnsi="黑体" w:eastAsia="黑体" w:cs="黑体"/>
          <w:i w:val="0"/>
          <w:iCs w:val="0"/>
          <w:caps w:val="0"/>
          <w:color w:val="000000"/>
          <w:spacing w:val="0"/>
          <w:sz w:val="32"/>
          <w:szCs w:val="32"/>
          <w:shd w:val="clear" w:fill="FFFFFF"/>
        </w:rPr>
        <w:t>社会保险基金预算支出情况</w:t>
      </w:r>
    </w:p>
    <w:p w14:paraId="4FDF0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cs="Times New Roman"/>
          <w:color w:val="auto"/>
          <w:kern w:val="0"/>
          <w:sz w:val="32"/>
          <w:szCs w:val="32"/>
          <w:lang w:val="en-US" w:eastAsia="zh-CN" w:bidi="ar-SA"/>
        </w:rPr>
      </w:pPr>
      <w:r>
        <w:rPr>
          <w:rFonts w:hint="eastAsia" w:cs="Times New Roman"/>
          <w:color w:val="auto"/>
          <w:kern w:val="0"/>
          <w:sz w:val="32"/>
          <w:szCs w:val="32"/>
          <w:lang w:val="en-US" w:eastAsia="zh-CN" w:bidi="ar-SA"/>
        </w:rPr>
        <w:t>无</w:t>
      </w:r>
    </w:p>
    <w:p w14:paraId="4C4AF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5423260A">
      <w:pPr>
        <w:ind w:firstLine="640" w:firstLineChars="200"/>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eastAsia" w:ascii="仿宋" w:hAnsi="仿宋" w:eastAsia="仿宋"/>
          <w:sz w:val="32"/>
          <w:szCs w:val="32"/>
        </w:rPr>
        <w:t>工作完成率、工作完成及时率、质量达标率都达到了</w:t>
      </w:r>
      <w:r>
        <w:rPr>
          <w:rFonts w:ascii="仿宋" w:hAnsi="仿宋" w:eastAsia="仿宋"/>
          <w:sz w:val="32"/>
          <w:szCs w:val="32"/>
        </w:rPr>
        <w:t>100%</w:t>
      </w:r>
      <w:r>
        <w:rPr>
          <w:rFonts w:hint="eastAsia" w:ascii="仿宋" w:hAnsi="仿宋" w:eastAsia="仿宋"/>
          <w:sz w:val="32"/>
          <w:szCs w:val="32"/>
        </w:rPr>
        <w:t>。</w:t>
      </w:r>
    </w:p>
    <w:p w14:paraId="3E9E947A">
      <w:pPr>
        <w:spacing w:line="580" w:lineRule="exact"/>
        <w:ind w:firstLine="640" w:firstLineChars="200"/>
        <w:rPr>
          <w:rFonts w:hint="eastAsia" w:ascii="仿宋" w:hAnsi="仿宋" w:eastAsia="仿宋"/>
          <w:color w:val="00000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r>
        <w:rPr>
          <w:rFonts w:hint="eastAsia" w:ascii="楷体" w:hAnsi="楷体" w:eastAsia="楷体"/>
          <w:b/>
          <w:sz w:val="32"/>
          <w:szCs w:val="32"/>
        </w:rPr>
        <w:t>（一）推进规划编制，突出规划管控。</w:t>
      </w:r>
      <w:r>
        <w:rPr>
          <w:rFonts w:hint="eastAsia" w:ascii="仿宋" w:hAnsi="仿宋" w:eastAsia="仿宋"/>
          <w:b/>
          <w:color w:val="000000"/>
          <w:sz w:val="32"/>
          <w:szCs w:val="32"/>
        </w:rPr>
        <w:t>一是科学编制总体规划。</w:t>
      </w:r>
      <w:r>
        <w:rPr>
          <w:rFonts w:hint="eastAsia" w:ascii="仿宋" w:hAnsi="仿宋" w:eastAsia="仿宋"/>
          <w:color w:val="000000"/>
          <w:sz w:val="32"/>
          <w:szCs w:val="32"/>
        </w:rPr>
        <w:t>《县国土空间总体规划（2021—2035年）》通过省人民政府批复，按期完成国土空间规划“一张图”及规划信息平台系统建设、城镇开发边界优化和全县“多规合一”的示范性村庄规划编制，12个乡镇和159个村庄（包括12个省级重点村）国土空间规划编制通过市级联审。</w:t>
      </w:r>
      <w:r>
        <w:rPr>
          <w:rFonts w:hint="eastAsia" w:ascii="仿宋" w:hAnsi="仿宋" w:eastAsia="仿宋"/>
          <w:b/>
          <w:color w:val="000000"/>
          <w:sz w:val="32"/>
          <w:szCs w:val="32"/>
        </w:rPr>
        <w:t>二是有效保障城镇体系建设。</w:t>
      </w:r>
      <w:r>
        <w:rPr>
          <w:rFonts w:hint="eastAsia" w:ascii="仿宋" w:hAnsi="仿宋" w:eastAsia="仿宋"/>
          <w:color w:val="000000"/>
          <w:sz w:val="32"/>
          <w:szCs w:val="32"/>
        </w:rPr>
        <w:t>注重保民生、促发展，突出抓好县旅发大会、县农产品展销交易中心、玉龙洞提质改造等重点项目规划设计和评审论证工作，核发建设用地规划许可16宗，办理建设工程规划许可57件，建设工程竣工规划核实和土地核验33件，</w:t>
      </w:r>
      <w:r>
        <w:rPr>
          <w:rFonts w:ascii="仿宋" w:hAnsi="仿宋" w:eastAsia="仿宋"/>
          <w:color w:val="000000"/>
          <w:sz w:val="32"/>
          <w:szCs w:val="32"/>
        </w:rPr>
        <w:t>推动了重点项目顺利建设</w:t>
      </w:r>
      <w:r>
        <w:rPr>
          <w:rFonts w:hint="eastAsia" w:ascii="仿宋" w:hAnsi="仿宋" w:eastAsia="仿宋"/>
          <w:color w:val="000000"/>
          <w:sz w:val="32"/>
          <w:szCs w:val="32"/>
        </w:rPr>
        <w:t>。</w:t>
      </w:r>
      <w:r>
        <w:rPr>
          <w:rFonts w:hint="eastAsia" w:ascii="仿宋" w:hAnsi="仿宋" w:eastAsia="仿宋"/>
          <w:b/>
          <w:color w:val="000000"/>
          <w:sz w:val="32"/>
          <w:szCs w:val="32"/>
        </w:rPr>
        <w:t>三是突出加强规划执法。</w:t>
      </w:r>
      <w:r>
        <w:rPr>
          <w:rFonts w:ascii="仿宋" w:hAnsi="仿宋" w:eastAsia="仿宋"/>
          <w:color w:val="000000"/>
          <w:sz w:val="32"/>
          <w:szCs w:val="32"/>
        </w:rPr>
        <w:t>从严查处违规建设、违法占地、盗采砂石资源问题的</w:t>
      </w:r>
      <w:r>
        <w:rPr>
          <w:rFonts w:hint="eastAsia" w:ascii="仿宋" w:hAnsi="仿宋" w:eastAsia="仿宋"/>
          <w:color w:val="000000"/>
          <w:sz w:val="32"/>
          <w:szCs w:val="32"/>
        </w:rPr>
        <w:t>督察执法。全年立案调查土地、矿产、规划违法案件10宗，罚没收入217.09万元，移交违法行为线索7起。</w:t>
      </w:r>
    </w:p>
    <w:p w14:paraId="641A4C92">
      <w:pPr>
        <w:spacing w:line="560" w:lineRule="exact"/>
        <w:ind w:firstLine="643" w:firstLineChars="200"/>
        <w:rPr>
          <w:rFonts w:hint="eastAsia" w:ascii="仿宋" w:hAnsi="仿宋" w:eastAsia="仿宋"/>
          <w:color w:val="000000"/>
          <w:sz w:val="32"/>
          <w:szCs w:val="32"/>
        </w:rPr>
      </w:pPr>
      <w:r>
        <w:rPr>
          <w:rFonts w:hint="eastAsia" w:ascii="楷体" w:hAnsi="楷体" w:eastAsia="楷体"/>
          <w:b/>
          <w:sz w:val="32"/>
          <w:szCs w:val="32"/>
        </w:rPr>
        <w:t>（二）强化要素保障，助力经济发展。</w:t>
      </w:r>
      <w:r>
        <w:rPr>
          <w:rFonts w:hint="eastAsia" w:ascii="仿宋" w:hAnsi="仿宋" w:eastAsia="仿宋"/>
          <w:b/>
          <w:color w:val="000000"/>
          <w:sz w:val="32"/>
          <w:szCs w:val="32"/>
        </w:rPr>
        <w:t>一是全力以赴保障用地需求。</w:t>
      </w:r>
      <w:r>
        <w:rPr>
          <w:rFonts w:ascii="仿宋" w:hAnsi="仿宋" w:eastAsia="仿宋"/>
          <w:color w:val="000000"/>
          <w:sz w:val="32"/>
          <w:szCs w:val="32"/>
        </w:rPr>
        <w:t>坚持土地要素跟着项目走，在全力保障发展用地需求时，积极破解耕地占补平衡难题，促进自然资源节约集约利用</w:t>
      </w:r>
      <w:r>
        <w:rPr>
          <w:rFonts w:hint="eastAsia" w:ascii="仿宋" w:hAnsi="仿宋" w:eastAsia="仿宋"/>
          <w:color w:val="000000"/>
          <w:sz w:val="32"/>
          <w:szCs w:val="32"/>
        </w:rPr>
        <w:t>。全年</w:t>
      </w:r>
      <w:r>
        <w:rPr>
          <w:rFonts w:ascii="仿宋" w:hAnsi="仿宋" w:eastAsia="仿宋"/>
          <w:color w:val="000000"/>
          <w:sz w:val="32"/>
          <w:szCs w:val="32"/>
        </w:rPr>
        <w:t>组卷报批项目并领取用地批文12宗，面积83.7亩</w:t>
      </w:r>
      <w:r>
        <w:rPr>
          <w:rFonts w:hint="eastAsia" w:ascii="仿宋" w:hAnsi="仿宋" w:eastAsia="仿宋"/>
          <w:color w:val="000000"/>
          <w:sz w:val="32"/>
          <w:szCs w:val="32"/>
        </w:rPr>
        <w:t>，核发建设项目用地预审与选址意见书</w:t>
      </w:r>
      <w:r>
        <w:rPr>
          <w:rFonts w:ascii="仿宋" w:hAnsi="仿宋" w:eastAsia="仿宋"/>
          <w:color w:val="000000"/>
          <w:sz w:val="32"/>
          <w:szCs w:val="32"/>
        </w:rPr>
        <w:t>9宗，面积约118亩，其中</w:t>
      </w:r>
      <w:r>
        <w:rPr>
          <w:rFonts w:hint="eastAsia" w:ascii="仿宋" w:hAnsi="仿宋" w:eastAsia="仿宋"/>
          <w:color w:val="000000"/>
          <w:sz w:val="32"/>
          <w:szCs w:val="32"/>
        </w:rPr>
        <w:t>2</w:t>
      </w:r>
      <w:r>
        <w:rPr>
          <w:rFonts w:ascii="仿宋" w:hAnsi="仿宋" w:eastAsia="仿宋"/>
          <w:color w:val="000000"/>
          <w:sz w:val="32"/>
          <w:szCs w:val="32"/>
        </w:rPr>
        <w:t>宗由省厅批准的重点项目</w:t>
      </w:r>
      <w:r>
        <w:rPr>
          <w:rFonts w:hint="eastAsia" w:ascii="仿宋" w:hAnsi="仿宋" w:eastAsia="仿宋"/>
          <w:color w:val="000000"/>
          <w:sz w:val="32"/>
          <w:szCs w:val="32"/>
        </w:rPr>
        <w:t>（</w:t>
      </w:r>
      <w:r>
        <w:rPr>
          <w:rFonts w:ascii="仿宋" w:hAnsi="仿宋" w:eastAsia="仿宋"/>
          <w:color w:val="000000"/>
          <w:sz w:val="32"/>
          <w:szCs w:val="32"/>
        </w:rPr>
        <w:t>大洞口风电项目和西岩落水光伏发电项目</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有力</w:t>
      </w:r>
      <w:r>
        <w:rPr>
          <w:rFonts w:ascii="仿宋" w:hAnsi="仿宋" w:eastAsia="仿宋"/>
          <w:color w:val="000000"/>
          <w:sz w:val="32"/>
          <w:szCs w:val="32"/>
        </w:rPr>
        <w:t>保障</w:t>
      </w:r>
      <w:r>
        <w:rPr>
          <w:rFonts w:hint="eastAsia" w:ascii="仿宋" w:hAnsi="仿宋" w:eastAsia="仿宋"/>
          <w:color w:val="000000"/>
          <w:sz w:val="32"/>
          <w:szCs w:val="32"/>
        </w:rPr>
        <w:t>县民族风情商业街、城龙高速二期</w:t>
      </w:r>
      <w:r>
        <w:rPr>
          <w:rFonts w:ascii="仿宋" w:hAnsi="仿宋" w:eastAsia="仿宋"/>
          <w:color w:val="000000"/>
          <w:sz w:val="32"/>
          <w:szCs w:val="32"/>
        </w:rPr>
        <w:t>等</w:t>
      </w:r>
      <w:r>
        <w:rPr>
          <w:rFonts w:hint="eastAsia" w:ascii="仿宋" w:hAnsi="仿宋" w:eastAsia="仿宋"/>
          <w:color w:val="000000"/>
          <w:sz w:val="32"/>
          <w:szCs w:val="32"/>
        </w:rPr>
        <w:t>1</w:t>
      </w:r>
      <w:r>
        <w:rPr>
          <w:rFonts w:ascii="仿宋" w:hAnsi="仿宋" w:eastAsia="仿宋"/>
          <w:color w:val="000000"/>
          <w:sz w:val="32"/>
          <w:szCs w:val="32"/>
        </w:rPr>
        <w:t>0余个重点项目用地需</w:t>
      </w:r>
      <w:r>
        <w:rPr>
          <w:rFonts w:hint="eastAsia" w:ascii="仿宋" w:hAnsi="仿宋" w:eastAsia="仿宋"/>
          <w:color w:val="000000"/>
          <w:sz w:val="32"/>
          <w:szCs w:val="32"/>
        </w:rPr>
        <w:t>求</w:t>
      </w:r>
      <w:r>
        <w:rPr>
          <w:rFonts w:ascii="仿宋" w:hAnsi="仿宋" w:eastAsia="仿宋"/>
          <w:color w:val="000000"/>
          <w:sz w:val="32"/>
          <w:szCs w:val="32"/>
        </w:rPr>
        <w:t>。</w:t>
      </w:r>
      <w:r>
        <w:rPr>
          <w:rFonts w:hint="eastAsia" w:ascii="仿宋" w:hAnsi="仿宋" w:eastAsia="仿宋"/>
          <w:b/>
          <w:color w:val="000000"/>
          <w:sz w:val="32"/>
          <w:szCs w:val="32"/>
        </w:rPr>
        <w:t>二是多方联动搞好征地拆迁。</w:t>
      </w:r>
      <w:r>
        <w:rPr>
          <w:rFonts w:hint="eastAsia" w:ascii="仿宋" w:hAnsi="仿宋" w:eastAsia="仿宋"/>
          <w:sz w:val="32"/>
          <w:szCs w:val="32"/>
        </w:rPr>
        <w:t>为保障重点项目按期开工建设，突出抓好县职业中专改扩建、城龙高速建设、县城第二水源建设、联晨国际物流商贸城等项目征地拆迁，并做好支付补偿和矛盾纠纷工作。</w:t>
      </w:r>
      <w:r>
        <w:rPr>
          <w:rFonts w:hint="eastAsia" w:ascii="仿宋" w:hAnsi="仿宋" w:eastAsia="仿宋"/>
          <w:b/>
          <w:color w:val="000000"/>
          <w:sz w:val="32"/>
          <w:szCs w:val="32"/>
        </w:rPr>
        <w:t>三是想方设法抓好土地创收。</w:t>
      </w:r>
      <w:r>
        <w:rPr>
          <w:rFonts w:hint="eastAsia" w:ascii="仿宋" w:hAnsi="仿宋" w:eastAsia="仿宋"/>
          <w:color w:val="000000"/>
          <w:sz w:val="32"/>
          <w:szCs w:val="32"/>
        </w:rPr>
        <w:t>全年土地受益为财政创收3.52亿元，其中</w:t>
      </w:r>
      <w:r>
        <w:rPr>
          <w:rFonts w:ascii="仿宋" w:hAnsi="仿宋" w:eastAsia="仿宋"/>
          <w:color w:val="000000"/>
          <w:sz w:val="32"/>
          <w:szCs w:val="32"/>
        </w:rPr>
        <w:t>土地出让价款等基金性总收入3614.9</w:t>
      </w:r>
      <w:r>
        <w:rPr>
          <w:rFonts w:hint="eastAsia" w:ascii="仿宋" w:hAnsi="仿宋" w:eastAsia="仿宋"/>
          <w:color w:val="000000"/>
          <w:sz w:val="32"/>
          <w:szCs w:val="32"/>
        </w:rPr>
        <w:t>1</w:t>
      </w:r>
      <w:r>
        <w:rPr>
          <w:rFonts w:ascii="仿宋" w:hAnsi="仿宋" w:eastAsia="仿宋"/>
          <w:color w:val="000000"/>
          <w:sz w:val="32"/>
          <w:szCs w:val="32"/>
        </w:rPr>
        <w:t>万元</w:t>
      </w:r>
      <w:r>
        <w:rPr>
          <w:rFonts w:hint="eastAsia" w:ascii="仿宋" w:hAnsi="仿宋" w:eastAsia="仿宋"/>
          <w:color w:val="000000"/>
          <w:sz w:val="32"/>
          <w:szCs w:val="32"/>
        </w:rPr>
        <w:t>（挂牌出让5宗成交出让价款2138.61万元，个人自建房协议出让60宗核缴出让价款656.4597万元，集资房类二手房交易47宗核缴出让价款94.0072万元，砂石资源交易1处核缴出让价款45.83万元，其他基金性收入680.0万元）、增减挂钩项目交易资金完成3.16亿元。</w:t>
      </w:r>
    </w:p>
    <w:p w14:paraId="76A9B561">
      <w:pPr>
        <w:spacing w:line="560" w:lineRule="exact"/>
        <w:ind w:firstLine="643" w:firstLineChars="200"/>
        <w:jc w:val="left"/>
        <w:rPr>
          <w:rFonts w:hint="eastAsia" w:ascii="仿宋" w:hAnsi="仿宋" w:eastAsia="仿宋"/>
          <w:color w:val="000000"/>
          <w:spacing w:val="-6"/>
          <w:sz w:val="32"/>
          <w:szCs w:val="32"/>
        </w:rPr>
      </w:pPr>
      <w:r>
        <w:rPr>
          <w:rFonts w:hint="eastAsia" w:ascii="楷体" w:hAnsi="楷体" w:eastAsia="楷体"/>
          <w:b/>
          <w:sz w:val="32"/>
          <w:szCs w:val="32"/>
        </w:rPr>
        <w:t>（三）聚焦资源保护，筑牢生态根基。</w:t>
      </w:r>
      <w:r>
        <w:rPr>
          <w:rFonts w:hint="eastAsia" w:ascii="仿宋" w:hAnsi="仿宋" w:eastAsia="仿宋"/>
          <w:b/>
          <w:color w:val="000000"/>
          <w:sz w:val="32"/>
          <w:szCs w:val="32"/>
        </w:rPr>
        <w:t>一是严格耕地保护。</w:t>
      </w:r>
      <w:r>
        <w:rPr>
          <w:rFonts w:hint="eastAsia" w:ascii="仿宋" w:hAnsi="仿宋" w:eastAsia="仿宋"/>
          <w:color w:val="000000"/>
          <w:sz w:val="32"/>
          <w:szCs w:val="32"/>
        </w:rPr>
        <w:t>严格耕地保护和粮食安全考核责任制，</w:t>
      </w:r>
      <w:r>
        <w:rPr>
          <w:rFonts w:ascii="仿宋" w:hAnsi="仿宋" w:eastAsia="仿宋"/>
          <w:color w:val="000000"/>
          <w:sz w:val="32"/>
          <w:szCs w:val="32"/>
        </w:rPr>
        <w:t>落实耕地保护“长牙齿”硬措施，对耕地和永久基本农田实行网格化管理</w:t>
      </w:r>
      <w:r>
        <w:rPr>
          <w:rFonts w:hint="eastAsia" w:ascii="仿宋" w:hAnsi="仿宋" w:eastAsia="仿宋"/>
          <w:color w:val="000000"/>
          <w:sz w:val="32"/>
          <w:szCs w:val="32"/>
        </w:rPr>
        <w:t>。坚持以“田长制”为抓手，在全县</w:t>
      </w:r>
      <w:r>
        <w:rPr>
          <w:rFonts w:hint="eastAsia" w:ascii="仿宋" w:hAnsi="仿宋" w:eastAsia="仿宋" w:cs="仿宋"/>
          <w:sz w:val="32"/>
          <w:szCs w:val="32"/>
        </w:rPr>
        <w:t>安装实时监测点123个，以地上田长“实地查”、卫星遥感“天上看”、视频监控“实时看”的立体模式实施监测巡查。并</w:t>
      </w:r>
      <w:r>
        <w:rPr>
          <w:rFonts w:hint="eastAsia" w:ascii="仿宋" w:hAnsi="仿宋" w:eastAsia="仿宋"/>
          <w:color w:val="000000"/>
          <w:sz w:val="32"/>
          <w:szCs w:val="32"/>
        </w:rPr>
        <w:t>突出抓好耕地“非农化”、永久基本农田“非粮化”问题259个图斑整治，整改率达100%。</w:t>
      </w:r>
      <w:r>
        <w:rPr>
          <w:rFonts w:hint="eastAsia" w:ascii="仿宋" w:hAnsi="仿宋" w:eastAsia="仿宋"/>
          <w:b/>
          <w:color w:val="000000"/>
          <w:sz w:val="32"/>
          <w:szCs w:val="32"/>
        </w:rPr>
        <w:t>二是有序推进矿山转型。</w:t>
      </w:r>
      <w:r>
        <w:rPr>
          <w:rFonts w:hint="eastAsia" w:ascii="仿宋" w:hAnsi="仿宋" w:eastAsia="仿宋"/>
          <w:color w:val="000000"/>
          <w:sz w:val="32"/>
          <w:szCs w:val="32"/>
        </w:rPr>
        <w:t>持续推进矿山向绿色建设转型。</w:t>
      </w:r>
      <w:r>
        <w:rPr>
          <w:rFonts w:hint="eastAsia" w:ascii="仿宋" w:hAnsi="仿宋" w:eastAsia="仿宋"/>
          <w:color w:val="000000"/>
          <w:spacing w:val="-6"/>
          <w:sz w:val="32"/>
          <w:szCs w:val="32"/>
        </w:rPr>
        <w:t>2024年获批复计划投放砂石土矿1宗</w:t>
      </w:r>
      <w:r>
        <w:rPr>
          <w:rFonts w:hint="eastAsia" w:ascii="仿宋" w:hAnsi="仿宋" w:eastAsia="仿宋" w:cs="仿宋"/>
          <w:color w:val="000000"/>
          <w:sz w:val="32"/>
        </w:rPr>
        <w:t>（儒林镇双井建筑用料灰岩矿，现正在地质勘查中）</w:t>
      </w:r>
      <w:r>
        <w:rPr>
          <w:rFonts w:hint="eastAsia" w:ascii="仿宋" w:hAnsi="仿宋" w:eastAsia="仿宋"/>
          <w:color w:val="000000"/>
          <w:spacing w:val="-6"/>
          <w:sz w:val="32"/>
          <w:szCs w:val="32"/>
        </w:rPr>
        <w:t>、探矿权1宗</w:t>
      </w:r>
      <w:r>
        <w:rPr>
          <w:rFonts w:hint="eastAsia" w:ascii="仿宋" w:hAnsi="仿宋" w:eastAsia="仿宋" w:cs="仿宋"/>
          <w:color w:val="000000"/>
          <w:sz w:val="32"/>
        </w:rPr>
        <w:t>（威溪铜矿周边多金属，详查实施方案已通过省级专家评审）</w:t>
      </w:r>
      <w:r>
        <w:rPr>
          <w:rFonts w:hint="eastAsia" w:ascii="仿宋" w:hAnsi="仿宋" w:eastAsia="仿宋"/>
          <w:color w:val="000000"/>
          <w:spacing w:val="-6"/>
          <w:sz w:val="32"/>
          <w:szCs w:val="32"/>
        </w:rPr>
        <w:t>；整合并复工复产矿山1宗（</w:t>
      </w:r>
      <w:r>
        <w:rPr>
          <w:rFonts w:hint="eastAsia" w:ascii="仿宋" w:hAnsi="仿宋" w:eastAsia="仿宋" w:cs="仿宋"/>
          <w:color w:val="000000"/>
          <w:sz w:val="32"/>
        </w:rPr>
        <w:t>威溪铜矿已整合完成，县政府同意复工复产</w:t>
      </w:r>
      <w:r>
        <w:rPr>
          <w:rFonts w:hint="eastAsia" w:ascii="仿宋" w:hAnsi="仿宋" w:eastAsia="仿宋"/>
          <w:color w:val="000000"/>
          <w:spacing w:val="-6"/>
          <w:sz w:val="32"/>
          <w:szCs w:val="32"/>
        </w:rPr>
        <w:t>）。</w:t>
      </w:r>
      <w:r>
        <w:rPr>
          <w:rFonts w:hint="eastAsia" w:ascii="仿宋" w:hAnsi="仿宋" w:eastAsia="仿宋"/>
          <w:b/>
          <w:color w:val="000000"/>
          <w:spacing w:val="-6"/>
          <w:sz w:val="32"/>
          <w:szCs w:val="32"/>
        </w:rPr>
        <w:t>三是有力推进生态修复。</w:t>
      </w:r>
      <w:r>
        <w:rPr>
          <w:rFonts w:hint="eastAsia" w:ascii="仿宋" w:hAnsi="仿宋" w:eastAsia="仿宋"/>
          <w:color w:val="000000"/>
          <w:spacing w:val="-6"/>
          <w:sz w:val="32"/>
          <w:szCs w:val="32"/>
        </w:rPr>
        <w:t>完成全县历史遗留废弃矿山示范工程修复图斑23个，修复面积25.67公顷。</w:t>
      </w:r>
      <w:r>
        <w:rPr>
          <w:rFonts w:hint="eastAsia" w:ascii="仿宋" w:hAnsi="仿宋" w:eastAsia="仿宋" w:cs="仿宋"/>
          <w:sz w:val="32"/>
          <w:szCs w:val="32"/>
        </w:rPr>
        <w:t>项目总投资预算729.18万元，目前中央下达资金434.00万元，县级配套资金150.00万元，目前执行中央资金431.7万元，执行县级资金150.00万元。</w:t>
      </w:r>
    </w:p>
    <w:p w14:paraId="423AA43C">
      <w:pPr>
        <w:spacing w:line="560" w:lineRule="exact"/>
        <w:ind w:firstLine="643" w:firstLineChars="200"/>
        <w:rPr>
          <w:rFonts w:hint="eastAsia" w:ascii="仿宋" w:hAnsi="仿宋" w:eastAsia="仿宋"/>
          <w:color w:val="000000"/>
          <w:sz w:val="32"/>
          <w:szCs w:val="32"/>
        </w:rPr>
      </w:pPr>
      <w:r>
        <w:rPr>
          <w:rFonts w:hint="eastAsia" w:ascii="楷体" w:hAnsi="楷体" w:eastAsia="楷体"/>
          <w:b/>
          <w:sz w:val="32"/>
          <w:szCs w:val="32"/>
        </w:rPr>
        <w:t>（四）优化营商环境，提升服务效能。</w:t>
      </w:r>
      <w:r>
        <w:rPr>
          <w:rFonts w:hint="eastAsia" w:ascii="仿宋" w:hAnsi="仿宋" w:eastAsia="仿宋"/>
          <w:b/>
          <w:color w:val="000000"/>
          <w:sz w:val="32"/>
          <w:szCs w:val="32"/>
        </w:rPr>
        <w:t>一是推进不动产登记改革。</w:t>
      </w:r>
      <w:r>
        <w:rPr>
          <w:rFonts w:hint="eastAsia" w:ascii="仿宋" w:hAnsi="仿宋" w:eastAsia="仿宋"/>
          <w:color w:val="000000"/>
          <w:sz w:val="32"/>
          <w:szCs w:val="32"/>
        </w:rPr>
        <w:t>全面压缩办结时间，所有登记业务进入窗口后均实现5个工作日办结。完成了农村集体土地所有权确权登记成果更新汇交工作。在全市率先实现登记完成率达100%。财产转移登记再提速。不动产财产转移登记从窗口受理到办结，由3个工作日压缩至0.5个工作日，不动产转移登记与水电气过户联动办理实现“一站式办理”；新建商品房“交房即交证”实现常态化。正式上线运行湖南省不动产统一登记“一库一平台”，成功实现“全省通办、跨省通办”“异地受理、跨域通办”。</w:t>
      </w:r>
      <w:r>
        <w:rPr>
          <w:rFonts w:hint="eastAsia" w:ascii="仿宋" w:hAnsi="仿宋" w:eastAsia="仿宋"/>
          <w:b/>
          <w:color w:val="000000"/>
          <w:sz w:val="32"/>
          <w:szCs w:val="32"/>
        </w:rPr>
        <w:t>二是优化行政审批机制。</w:t>
      </w:r>
      <w:r>
        <w:rPr>
          <w:rFonts w:ascii="仿宋" w:hAnsi="仿宋" w:eastAsia="仿宋"/>
          <w:color w:val="000000"/>
          <w:sz w:val="32"/>
          <w:szCs w:val="32"/>
        </w:rPr>
        <w:t>围绕便民利企</w:t>
      </w:r>
      <w:r>
        <w:rPr>
          <w:rFonts w:hint="eastAsia" w:ascii="仿宋" w:hAnsi="仿宋" w:eastAsia="仿宋"/>
          <w:color w:val="000000"/>
          <w:sz w:val="32"/>
          <w:szCs w:val="32"/>
        </w:rPr>
        <w:t>和</w:t>
      </w:r>
      <w:r>
        <w:rPr>
          <w:rFonts w:ascii="仿宋" w:hAnsi="仿宋" w:eastAsia="仿宋"/>
          <w:color w:val="000000"/>
          <w:sz w:val="32"/>
          <w:szCs w:val="32"/>
        </w:rPr>
        <w:t>效能提升，全面梳理</w:t>
      </w:r>
      <w:r>
        <w:rPr>
          <w:rFonts w:hint="eastAsia" w:ascii="仿宋" w:hAnsi="仿宋" w:eastAsia="仿宋"/>
          <w:color w:val="000000"/>
          <w:sz w:val="32"/>
          <w:szCs w:val="32"/>
        </w:rPr>
        <w:t>了</w:t>
      </w:r>
      <w:r>
        <w:rPr>
          <w:rFonts w:ascii="仿宋" w:hAnsi="仿宋" w:eastAsia="仿宋"/>
          <w:color w:val="000000"/>
          <w:sz w:val="32"/>
          <w:szCs w:val="32"/>
        </w:rPr>
        <w:t>局内部业务流程，绘制了</w:t>
      </w:r>
      <w:r>
        <w:rPr>
          <w:rFonts w:hint="eastAsia" w:ascii="仿宋" w:hAnsi="仿宋" w:eastAsia="仿宋"/>
          <w:color w:val="000000"/>
          <w:sz w:val="32"/>
          <w:szCs w:val="32"/>
        </w:rPr>
        <w:t>《县城镇规划区内居民自建房办事指南》</w:t>
      </w:r>
      <w:r>
        <w:rPr>
          <w:rFonts w:ascii="仿宋" w:hAnsi="仿宋" w:eastAsia="仿宋"/>
          <w:color w:val="000000"/>
          <w:sz w:val="32"/>
          <w:szCs w:val="32"/>
        </w:rPr>
        <w:t>“流程图”</w:t>
      </w:r>
      <w:r>
        <w:rPr>
          <w:rFonts w:hint="eastAsia" w:ascii="仿宋" w:hAnsi="仿宋" w:eastAsia="仿宋"/>
          <w:color w:val="000000"/>
          <w:sz w:val="32"/>
          <w:szCs w:val="32"/>
        </w:rPr>
        <w:t>， 进一步</w:t>
      </w:r>
      <w:r>
        <w:rPr>
          <w:rFonts w:ascii="仿宋" w:hAnsi="仿宋" w:eastAsia="仿宋"/>
          <w:color w:val="000000"/>
          <w:sz w:val="32"/>
          <w:szCs w:val="32"/>
        </w:rPr>
        <w:t>持续优化</w:t>
      </w:r>
      <w:r>
        <w:rPr>
          <w:rFonts w:hint="eastAsia" w:ascii="仿宋" w:hAnsi="仿宋" w:eastAsia="仿宋"/>
          <w:color w:val="000000"/>
          <w:sz w:val="32"/>
          <w:szCs w:val="32"/>
        </w:rPr>
        <w:t>了</w:t>
      </w:r>
      <w:r>
        <w:rPr>
          <w:rFonts w:ascii="仿宋" w:hAnsi="仿宋" w:eastAsia="仿宋"/>
          <w:color w:val="000000"/>
          <w:sz w:val="32"/>
          <w:szCs w:val="32"/>
        </w:rPr>
        <w:t>不动产登记流程</w:t>
      </w:r>
      <w:r>
        <w:rPr>
          <w:rFonts w:hint="eastAsia" w:ascii="仿宋" w:hAnsi="仿宋" w:eastAsia="仿宋"/>
          <w:color w:val="000000"/>
          <w:sz w:val="32"/>
          <w:szCs w:val="32"/>
        </w:rPr>
        <w:t>，</w:t>
      </w:r>
      <w:r>
        <w:rPr>
          <w:rFonts w:ascii="仿宋" w:hAnsi="仿宋" w:eastAsia="仿宋"/>
          <w:color w:val="000000"/>
          <w:sz w:val="32"/>
          <w:szCs w:val="32"/>
        </w:rPr>
        <w:t>形成</w:t>
      </w:r>
      <w:r>
        <w:rPr>
          <w:rFonts w:hint="eastAsia" w:ascii="仿宋" w:hAnsi="仿宋" w:eastAsia="仿宋"/>
          <w:color w:val="000000"/>
          <w:sz w:val="32"/>
          <w:szCs w:val="32"/>
        </w:rPr>
        <w:t>了</w:t>
      </w:r>
      <w:r>
        <w:rPr>
          <w:rFonts w:ascii="仿宋" w:hAnsi="仿宋" w:eastAsia="仿宋"/>
          <w:color w:val="000000"/>
          <w:sz w:val="32"/>
          <w:szCs w:val="32"/>
        </w:rPr>
        <w:t>更</w:t>
      </w:r>
      <w:r>
        <w:rPr>
          <w:rFonts w:hint="eastAsia" w:ascii="仿宋" w:hAnsi="仿宋" w:eastAsia="仿宋"/>
          <w:color w:val="000000"/>
          <w:sz w:val="32"/>
          <w:szCs w:val="32"/>
        </w:rPr>
        <w:t>快捷、更优质的</w:t>
      </w:r>
      <w:r>
        <w:rPr>
          <w:rFonts w:ascii="仿宋" w:hAnsi="仿宋" w:eastAsia="仿宋"/>
          <w:color w:val="000000"/>
          <w:sz w:val="32"/>
          <w:szCs w:val="32"/>
        </w:rPr>
        <w:t>审批机制。</w:t>
      </w:r>
      <w:r>
        <w:rPr>
          <w:rFonts w:hint="eastAsia" w:ascii="仿宋" w:hAnsi="仿宋" w:eastAsia="仿宋"/>
          <w:b/>
          <w:color w:val="000000"/>
          <w:sz w:val="32"/>
          <w:szCs w:val="32"/>
        </w:rPr>
        <w:t>三是破解房屋办证难题。</w:t>
      </w:r>
      <w:r>
        <w:rPr>
          <w:rFonts w:hint="eastAsia" w:ascii="仿宋" w:hAnsi="仿宋" w:eastAsia="仿宋"/>
          <w:color w:val="000000"/>
          <w:sz w:val="32"/>
          <w:szCs w:val="32"/>
        </w:rPr>
        <w:t>妥善解决</w:t>
      </w:r>
      <w:r>
        <w:rPr>
          <w:rFonts w:ascii="仿宋" w:hAnsi="仿宋" w:eastAsia="仿宋"/>
          <w:color w:val="000000"/>
          <w:sz w:val="32"/>
          <w:szCs w:val="32"/>
        </w:rPr>
        <w:t>县城</w:t>
      </w:r>
      <w:r>
        <w:rPr>
          <w:rFonts w:hint="eastAsia" w:ascii="仿宋" w:hAnsi="仿宋" w:eastAsia="仿宋"/>
          <w:color w:val="000000"/>
          <w:sz w:val="32"/>
          <w:szCs w:val="32"/>
        </w:rPr>
        <w:t>林业小区、鸿达商业街、名流世家等小区房屋因历史</w:t>
      </w:r>
      <w:r>
        <w:rPr>
          <w:rFonts w:ascii="仿宋" w:hAnsi="仿宋" w:eastAsia="仿宋"/>
          <w:color w:val="000000"/>
          <w:sz w:val="32"/>
          <w:szCs w:val="32"/>
        </w:rPr>
        <w:t>遗留问题无法办理不动产权证书或无法过户登记</w:t>
      </w:r>
      <w:r>
        <w:rPr>
          <w:rFonts w:hint="eastAsia" w:ascii="仿宋" w:hAnsi="仿宋" w:eastAsia="仿宋"/>
          <w:color w:val="000000"/>
          <w:sz w:val="32"/>
          <w:szCs w:val="32"/>
        </w:rPr>
        <w:t>问题，涉及住户2224户、群众8000余名；包括儒林镇卿绿香等多户居民房屋翻修、省委巡视组交办的36户超期安置等历史遗留问题。</w:t>
      </w:r>
      <w:r>
        <w:rPr>
          <w:rFonts w:hint="eastAsia" w:ascii="仿宋" w:hAnsi="仿宋" w:eastAsia="仿宋"/>
          <w:b/>
          <w:color w:val="000000"/>
          <w:sz w:val="32"/>
          <w:szCs w:val="32"/>
        </w:rPr>
        <w:t>四是助力企业发展。</w:t>
      </w:r>
      <w:r>
        <w:rPr>
          <w:rFonts w:hint="eastAsia" w:ascii="仿宋" w:hAnsi="仿宋" w:eastAsia="仿宋"/>
          <w:color w:val="000000"/>
          <w:sz w:val="32"/>
          <w:szCs w:val="32"/>
        </w:rPr>
        <w:t>不动产收费减免政策有效落实，小微企业作出承诺后免收相应的不动产登记费，个体工商户凭工商营业执照直接免收不动产登记费。</w:t>
      </w:r>
      <w:r>
        <w:rPr>
          <w:rFonts w:hint="eastAsia" w:ascii="仿宋" w:hAnsi="仿宋" w:eastAsia="仿宋"/>
          <w:b/>
          <w:bCs/>
          <w:color w:val="000000"/>
          <w:sz w:val="32"/>
          <w:szCs w:val="32"/>
        </w:rPr>
        <w:t>五是强化地质灾害防治。</w:t>
      </w:r>
      <w:r>
        <w:rPr>
          <w:rFonts w:hint="eastAsia" w:ascii="仿宋" w:hAnsi="仿宋" w:eastAsia="仿宋"/>
          <w:sz w:val="32"/>
          <w:szCs w:val="32"/>
        </w:rPr>
        <w:t>积极向广大群众宣传、普及地质灾害防治知识，发放、悬、贴科普宣传等资料约50000册（份）。安装县域内普适型监测点6处，全年未因地质灾害造成人民群众财产损失和生命安全。</w:t>
      </w:r>
    </w:p>
    <w:p w14:paraId="6DCF4C96">
      <w:pPr>
        <w:spacing w:line="560" w:lineRule="exact"/>
        <w:ind w:firstLine="643" w:firstLineChars="200"/>
        <w:rPr>
          <w:rFonts w:hint="eastAsia" w:ascii="仿宋" w:hAnsi="仿宋" w:eastAsia="仿宋"/>
          <w:color w:val="000000"/>
          <w:sz w:val="32"/>
          <w:szCs w:val="32"/>
        </w:rPr>
      </w:pPr>
      <w:r>
        <w:rPr>
          <w:rFonts w:hint="eastAsia" w:ascii="楷体" w:hAnsi="楷体" w:eastAsia="楷体" w:cs="楷体"/>
          <w:b/>
          <w:bCs/>
          <w:kern w:val="0"/>
          <w:sz w:val="32"/>
          <w:szCs w:val="32"/>
          <w:shd w:val="clear" w:color="auto" w:fill="FFFFFF"/>
        </w:rPr>
        <w:t>（五）注重法治建设，提升幸福指数。</w:t>
      </w:r>
      <w:r>
        <w:rPr>
          <w:rFonts w:hint="eastAsia" w:ascii="仿宋" w:hAnsi="仿宋" w:eastAsia="仿宋" w:cs="仿宋"/>
          <w:b/>
          <w:sz w:val="32"/>
          <w:szCs w:val="32"/>
        </w:rPr>
        <w:t>一是加强法治学习</w:t>
      </w:r>
      <w:r>
        <w:rPr>
          <w:rFonts w:hint="eastAsia" w:ascii="仿宋" w:hAnsi="仿宋" w:eastAsia="仿宋" w:cs="仿宋"/>
          <w:sz w:val="32"/>
          <w:szCs w:val="32"/>
        </w:rPr>
        <w:t>。</w:t>
      </w:r>
      <w:r>
        <w:rPr>
          <w:rFonts w:ascii="仿宋" w:hAnsi="仿宋" w:eastAsia="仿宋" w:cs="仿宋"/>
          <w:sz w:val="32"/>
          <w:szCs w:val="32"/>
        </w:rPr>
        <w:t>加强</w:t>
      </w:r>
      <w:r>
        <w:rPr>
          <w:rFonts w:hint="eastAsia" w:ascii="仿宋" w:hAnsi="仿宋" w:eastAsia="仿宋" w:cs="仿宋"/>
          <w:sz w:val="32"/>
          <w:szCs w:val="32"/>
        </w:rPr>
        <w:t>干部职工</w:t>
      </w:r>
      <w:r>
        <w:rPr>
          <w:rFonts w:ascii="仿宋" w:hAnsi="仿宋" w:eastAsia="仿宋" w:cs="仿宋"/>
          <w:sz w:val="32"/>
          <w:szCs w:val="32"/>
        </w:rPr>
        <w:t>对《宪法》、《城乡规划法》、《土地管理法》等法律法规</w:t>
      </w:r>
      <w:r>
        <w:rPr>
          <w:rFonts w:hint="eastAsia" w:ascii="仿宋" w:hAnsi="仿宋" w:eastAsia="仿宋" w:cs="仿宋"/>
          <w:sz w:val="32"/>
          <w:szCs w:val="32"/>
        </w:rPr>
        <w:t>的</w:t>
      </w:r>
      <w:r>
        <w:rPr>
          <w:rFonts w:ascii="仿宋" w:hAnsi="仿宋" w:eastAsia="仿宋" w:cs="仿宋"/>
          <w:sz w:val="32"/>
          <w:szCs w:val="32"/>
        </w:rPr>
        <w:t>学习</w:t>
      </w:r>
      <w:r>
        <w:rPr>
          <w:rFonts w:hint="eastAsia" w:ascii="仿宋" w:hAnsi="仿宋" w:eastAsia="仿宋" w:cs="仿宋"/>
          <w:sz w:val="32"/>
          <w:szCs w:val="32"/>
        </w:rPr>
        <w:t>；并参加“如法网”考试，通过率达100%。通过学法、守法、用法，</w:t>
      </w:r>
      <w:r>
        <w:rPr>
          <w:rFonts w:ascii="仿宋" w:hAnsi="仿宋" w:eastAsia="仿宋" w:cs="仿宋"/>
          <w:sz w:val="32"/>
          <w:szCs w:val="32"/>
        </w:rPr>
        <w:t>不断提高</w:t>
      </w:r>
      <w:r>
        <w:rPr>
          <w:rFonts w:hint="eastAsia" w:ascii="仿宋" w:hAnsi="仿宋" w:eastAsia="仿宋" w:cs="仿宋"/>
          <w:sz w:val="32"/>
          <w:szCs w:val="32"/>
        </w:rPr>
        <w:t>干部职工依法行政能力</w:t>
      </w:r>
      <w:r>
        <w:rPr>
          <w:rFonts w:ascii="仿宋" w:hAnsi="仿宋" w:eastAsia="仿宋" w:cs="仿宋"/>
          <w:sz w:val="32"/>
          <w:szCs w:val="32"/>
        </w:rPr>
        <w:t>。</w:t>
      </w:r>
      <w:r>
        <w:rPr>
          <w:rFonts w:hint="eastAsia" w:ascii="仿宋" w:hAnsi="仿宋" w:eastAsia="仿宋" w:cs="仿宋"/>
          <w:b/>
          <w:sz w:val="32"/>
          <w:szCs w:val="32"/>
        </w:rPr>
        <w:t>二是加强普法宣传。</w:t>
      </w:r>
      <w:r>
        <w:rPr>
          <w:rFonts w:hint="eastAsia" w:ascii="仿宋" w:hAnsi="仿宋" w:eastAsia="仿宋" w:cs="仿宋"/>
          <w:sz w:val="32"/>
          <w:szCs w:val="32"/>
        </w:rPr>
        <w:t>广泛开展“4·22”地球日、“6·25”土地日、“12·5”宪法日等集中宣传活动，深入宣传宪法和自然资源法律法规。</w:t>
      </w:r>
      <w:r>
        <w:rPr>
          <w:rFonts w:ascii="仿宋" w:hAnsi="仿宋" w:eastAsia="仿宋" w:cs="仿宋"/>
          <w:sz w:val="32"/>
          <w:szCs w:val="32"/>
        </w:rPr>
        <w:t>先后设立咨询台40余个，发放宣传资料10000余份，解答群众咨询1600余人次</w:t>
      </w:r>
      <w:r>
        <w:rPr>
          <w:rFonts w:hint="eastAsia" w:ascii="仿宋" w:hAnsi="仿宋" w:eastAsia="仿宋" w:cs="仿宋"/>
          <w:sz w:val="32"/>
          <w:szCs w:val="32"/>
        </w:rPr>
        <w:t>。全年在各类媒介上刊登宣传新闻90篇，其中县级融媒体新闻31篇、邵阳新闻网、邵阳日报等市级主流媒体刊登新闻18篇、省媒新湖南、华声在线等省级主流媒体刊登新闻20篇、央媒中国网、央广网等中央级主流媒体刊登新闻21篇。</w:t>
      </w:r>
      <w:r>
        <w:rPr>
          <w:rFonts w:hint="eastAsia" w:ascii="仿宋" w:hAnsi="仿宋" w:eastAsia="仿宋" w:cs="仿宋"/>
          <w:b/>
          <w:sz w:val="32"/>
          <w:szCs w:val="32"/>
        </w:rPr>
        <w:t>三是妥善处理信访矛盾</w:t>
      </w:r>
      <w:r>
        <w:rPr>
          <w:rFonts w:ascii="仿宋" w:hAnsi="仿宋" w:eastAsia="仿宋" w:cs="仿宋"/>
          <w:b/>
          <w:sz w:val="32"/>
          <w:szCs w:val="32"/>
        </w:rPr>
        <w:t>。</w:t>
      </w:r>
      <w:r>
        <w:rPr>
          <w:rFonts w:hint="eastAsia" w:ascii="仿宋" w:hAnsi="仿宋" w:eastAsia="仿宋" w:cs="仿宋"/>
          <w:sz w:val="32"/>
          <w:szCs w:val="32"/>
        </w:rPr>
        <w:t>及时受理并化解涉自然资源信访矛盾问题，全年办理涉自然资源信访案件9起、行政诉讼</w:t>
      </w:r>
      <w:r>
        <w:rPr>
          <w:rFonts w:ascii="仿宋" w:hAnsi="仿宋" w:eastAsia="仿宋" w:cs="仿宋"/>
          <w:sz w:val="32"/>
          <w:szCs w:val="32"/>
        </w:rPr>
        <w:t>1</w:t>
      </w:r>
      <w:r>
        <w:rPr>
          <w:rFonts w:hint="eastAsia" w:ascii="仿宋" w:hAnsi="仿宋" w:eastAsia="仿宋" w:cs="仿宋"/>
          <w:sz w:val="32"/>
          <w:szCs w:val="32"/>
        </w:rPr>
        <w:t>1起、行政复议1起，杨文广同志被省厅表彰为2024年度自然资源信访工作业绩突出个人。</w:t>
      </w:r>
    </w:p>
    <w:p w14:paraId="095DE00B">
      <w:pPr>
        <w:spacing w:line="560" w:lineRule="exact"/>
        <w:ind w:firstLine="643" w:firstLineChars="200"/>
        <w:rPr>
          <w:rStyle w:val="6"/>
          <w:rFonts w:hint="eastAsia" w:ascii="楷体" w:hAnsi="楷体" w:eastAsia="楷体"/>
          <w:b w:val="0"/>
          <w:bCs/>
          <w:color w:val="000000"/>
          <w:kern w:val="0"/>
          <w:sz w:val="32"/>
          <w:szCs w:val="32"/>
          <w:shd w:val="clear" w:color="auto" w:fill="FFFFFF"/>
        </w:rPr>
      </w:pPr>
      <w:r>
        <w:rPr>
          <w:rFonts w:hint="eastAsia" w:ascii="楷体" w:hAnsi="楷体" w:eastAsia="楷体"/>
          <w:b/>
          <w:sz w:val="32"/>
          <w:szCs w:val="32"/>
        </w:rPr>
        <w:t>（六）强化党建引领，单位凝聚力增强。</w:t>
      </w:r>
      <w:r>
        <w:rPr>
          <w:rFonts w:hint="eastAsia" w:ascii="仿宋" w:hAnsi="仿宋" w:eastAsia="仿宋"/>
          <w:b/>
          <w:color w:val="000000"/>
          <w:sz w:val="32"/>
          <w:szCs w:val="32"/>
        </w:rPr>
        <w:t>一是抓好队伍建设。</w:t>
      </w:r>
      <w:r>
        <w:rPr>
          <w:rFonts w:hint="eastAsia" w:ascii="仿宋" w:hAnsi="仿宋" w:eastAsia="仿宋"/>
          <w:color w:val="000000"/>
          <w:sz w:val="32"/>
          <w:szCs w:val="32"/>
        </w:rPr>
        <w:t>定期组织召开班子研讨会议12次，共同商讨阶段性工作计划，制定有效工作措施，明确有效工作目标，积极引导班子成员始终坚持心往一处想、劲往一处使，主动履行“一岗双责”责任，严格执行民主集中制度，认真落实“三重一大”事项决策和监督实施办法。着力抓好干部职工培养，全年1人晋升为一级主任科员、2人晋升为三级主任科员、1人从专技八级晋升为专技七级，不断激发干部职工干事创业的内在动力。</w:t>
      </w:r>
      <w:r>
        <w:rPr>
          <w:rFonts w:hint="eastAsia" w:ascii="仿宋" w:hAnsi="仿宋" w:eastAsia="仿宋"/>
          <w:b/>
          <w:color w:val="000000"/>
          <w:sz w:val="32"/>
          <w:szCs w:val="32"/>
        </w:rPr>
        <w:t>二是改善干部待遇。</w:t>
      </w:r>
      <w:r>
        <w:rPr>
          <w:rFonts w:hint="eastAsia" w:ascii="仿宋" w:hAnsi="仿宋" w:eastAsia="仿宋"/>
          <w:color w:val="000000"/>
          <w:sz w:val="32"/>
          <w:szCs w:val="32"/>
        </w:rPr>
        <w:t>为解决单位办公楼破旧、楼体瓷砖脱落容易砸到行人的安全隐患的问题，筹资约80万元对办公楼进行维修改造。为解决巡逻、监测、核查等业务工作用车问题，积极向省自然资源厅争取到特种专业技术车辆1台。为营造和谐融洽、团结互助的内部环境，积极组织开展党建和工会活动，先后参加市局羽毛球比赛、县气排球和篮球比赛，单位凝聚力和向心力不断增强。</w:t>
      </w:r>
      <w:r>
        <w:rPr>
          <w:rFonts w:hint="eastAsia" w:ascii="仿宋" w:hAnsi="仿宋" w:eastAsia="仿宋"/>
          <w:b/>
          <w:color w:val="000000"/>
          <w:sz w:val="32"/>
          <w:szCs w:val="32"/>
        </w:rPr>
        <w:t>三是强化作风建设。</w:t>
      </w:r>
      <w:r>
        <w:rPr>
          <w:rFonts w:hint="eastAsia" w:ascii="仿宋" w:hAnsi="仿宋" w:eastAsia="仿宋"/>
          <w:color w:val="000000"/>
          <w:sz w:val="32"/>
          <w:szCs w:val="32"/>
        </w:rPr>
        <w:t>结合党纪学习教育和“明方向、立规矩、正风气、强免疫”干部队伍作风建设专项整治活动，全面梳理本单位存在的问题和不足，做到举一反三、立行立改。先后组织开展党风廉政建设主题党课，学习我县典型案例通报，组织观看《初心迷失》《家风之痛》等警示教育片，做到以案促改，教育党员干部知敬畏、存戒惧、守底线。经常性组织开展干部作风督查，先后印发督查通报6期，对16名干部职工进行通报和处罚。大力整治“门难进、脸难看、事难办”、“吃拿卡要”、违规吃喝、违规收送红包礼金、打牌赌博、工作日饮酒、酒驾醉驾、醉酒滋事等问题，先后对12名干部职工进行党纪政纪处分。通过抓教育和强整治双管齐下，不断营造了风清气正的良好政治环境。</w:t>
      </w:r>
      <w:r>
        <w:rPr>
          <w:rFonts w:hint="eastAsia" w:ascii="楷体" w:hAnsi="楷体" w:eastAsia="楷体"/>
          <w:b/>
          <w:sz w:val="32"/>
          <w:szCs w:val="32"/>
        </w:rPr>
        <w:t>四是办好代表建议。</w:t>
      </w:r>
      <w:r>
        <w:rPr>
          <w:rFonts w:hint="eastAsia" w:ascii="仿宋" w:hAnsi="仿宋" w:eastAsia="仿宋"/>
          <w:color w:val="333333"/>
          <w:sz w:val="32"/>
          <w:szCs w:val="32"/>
          <w:shd w:val="clear" w:color="auto" w:fill="FFFFFF"/>
          <w:lang w:bidi="ar"/>
        </w:rPr>
        <w:t>始终坚持把办理人大代表建议、政协委员提案作为一项重要政治任务，成立办理答复工作领导小组，召开专题交办会，通过电话沟通、邀请来访、座谈等形式，主动加强与人大代表、政协委员沟通联系，听取意见，及时有效地对代表、委员所提建议及提案进行办理答复。2024年</w:t>
      </w:r>
      <w:r>
        <w:rPr>
          <w:rFonts w:hint="eastAsia" w:ascii="仿宋" w:hAnsi="仿宋" w:eastAsia="仿宋"/>
          <w:sz w:val="32"/>
          <w:szCs w:val="32"/>
        </w:rPr>
        <w:t>交办关于县第十八届人民代表大会第三次会议代表建议5件、县政协第十一届第二次会议委员提案5件</w:t>
      </w:r>
      <w:r>
        <w:rPr>
          <w:rFonts w:hint="eastAsia" w:ascii="仿宋" w:hAnsi="仿宋" w:eastAsia="仿宋"/>
          <w:color w:val="333333"/>
          <w:sz w:val="32"/>
          <w:szCs w:val="32"/>
          <w:shd w:val="clear" w:color="auto" w:fill="FFFFFF"/>
          <w:lang w:bidi="ar"/>
        </w:rPr>
        <w:t>，均已办理并走访答复到位，代表们满意度为100%。</w:t>
      </w:r>
      <w:r>
        <w:rPr>
          <w:rFonts w:hint="eastAsia" w:ascii="仿宋" w:hAnsi="仿宋" w:eastAsia="仿宋"/>
          <w:b/>
          <w:bCs/>
          <w:color w:val="000000"/>
          <w:sz w:val="32"/>
          <w:szCs w:val="32"/>
        </w:rPr>
        <w:t>四是助力乡村振兴。</w:t>
      </w:r>
      <w:r>
        <w:rPr>
          <w:rFonts w:hint="eastAsia" w:ascii="仿宋" w:hAnsi="仿宋" w:eastAsia="仿宋" w:cs="仿宋"/>
          <w:sz w:val="32"/>
          <w:szCs w:val="32"/>
        </w:rPr>
        <w:t>根据县乡村振兴工作安排，派出5名工作队员分别驻丹口镇群旺村、五团镇白水头村开展乡村振兴工作，工作认真负责，取得成效。</w:t>
      </w:r>
    </w:p>
    <w:p w14:paraId="4DA61F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3485292C">
      <w:pPr>
        <w:spacing w:line="560" w:lineRule="exact"/>
        <w:ind w:firstLine="643" w:firstLineChars="200"/>
        <w:rPr>
          <w:kern w:val="0"/>
          <w:sz w:val="32"/>
          <w:szCs w:val="32"/>
        </w:rPr>
      </w:pPr>
      <w:r>
        <w:rPr>
          <w:rFonts w:hint="eastAsia"/>
          <w:b/>
          <w:bCs/>
          <w:kern w:val="0"/>
          <w:sz w:val="32"/>
          <w:szCs w:val="32"/>
        </w:rPr>
        <w:t>1.预算编制工作有待细化。</w:t>
      </w:r>
      <w:r>
        <w:rPr>
          <w:rFonts w:hint="eastAsia"/>
          <w:kern w:val="0"/>
          <w:sz w:val="32"/>
          <w:szCs w:val="32"/>
        </w:rPr>
        <w:t>预算编制不够明确和细化，预算编制的合理性需要提高，预算执行力度还要进一步加强。</w:t>
      </w:r>
    </w:p>
    <w:p w14:paraId="335FE1E1">
      <w:pPr>
        <w:spacing w:line="560" w:lineRule="exact"/>
        <w:ind w:firstLine="643" w:firstLineChars="200"/>
        <w:rPr>
          <w:kern w:val="0"/>
          <w:sz w:val="32"/>
          <w:szCs w:val="32"/>
        </w:rPr>
      </w:pPr>
      <w:r>
        <w:rPr>
          <w:rFonts w:hint="eastAsia"/>
          <w:b/>
          <w:bCs/>
          <w:kern w:val="0"/>
          <w:sz w:val="32"/>
          <w:szCs w:val="32"/>
        </w:rPr>
        <w:t>2.财务监督管理有待进一步加强。</w:t>
      </w:r>
      <w:r>
        <w:rPr>
          <w:rFonts w:hint="eastAsia"/>
          <w:kern w:val="0"/>
          <w:sz w:val="32"/>
          <w:szCs w:val="32"/>
        </w:rPr>
        <w:t xml:space="preserve">我局财务管理的科学化、制度化、规范化总体执行较好，但仍不够理想，有待进一步提高。  </w:t>
      </w:r>
    </w:p>
    <w:p w14:paraId="013ED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6A5C4787">
      <w:pPr>
        <w:spacing w:line="560" w:lineRule="exact"/>
        <w:ind w:firstLine="640" w:firstLineChars="200"/>
        <w:rPr>
          <w:kern w:val="0"/>
          <w:sz w:val="32"/>
          <w:szCs w:val="32"/>
        </w:rPr>
      </w:pPr>
      <w:r>
        <w:rPr>
          <w:rFonts w:hint="eastAsia" w:ascii="黑体" w:hAnsi="黑体" w:eastAsia="黑体" w:cs="黑体"/>
          <w:i w:val="0"/>
          <w:iCs w:val="0"/>
          <w:caps w:val="0"/>
          <w:color w:val="000000"/>
          <w:spacing w:val="0"/>
          <w:sz w:val="32"/>
          <w:szCs w:val="32"/>
          <w:shd w:val="clear" w:fill="FFFFFF"/>
        </w:rPr>
        <w:t>八、下一步改进措施</w:t>
      </w:r>
      <w:r>
        <w:rPr>
          <w:rFonts w:hint="eastAsia"/>
          <w:kern w:val="0"/>
          <w:sz w:val="32"/>
          <w:szCs w:val="32"/>
        </w:rPr>
        <w:t>（一）人员超编，我局正向相关部门积极要求增编，保障单位机制正常运行。希望相关部门能尽早给我局增加人员编制。</w:t>
      </w:r>
    </w:p>
    <w:p w14:paraId="1722F238">
      <w:pPr>
        <w:spacing w:line="560" w:lineRule="exact"/>
        <w:ind w:firstLine="640" w:firstLineChars="200"/>
        <w:rPr>
          <w:kern w:val="0"/>
          <w:sz w:val="32"/>
          <w:szCs w:val="32"/>
        </w:rPr>
      </w:pPr>
      <w:r>
        <w:rPr>
          <w:rFonts w:hint="eastAsia"/>
          <w:kern w:val="0"/>
          <w:sz w:val="32"/>
          <w:szCs w:val="32"/>
        </w:rPr>
        <w:t>（二）积极完善资产管理制度，并保证制度的合法、合规、完整性。</w:t>
      </w:r>
    </w:p>
    <w:p w14:paraId="1F3AC5F8">
      <w:pPr>
        <w:spacing w:line="560" w:lineRule="exact"/>
        <w:ind w:firstLine="640" w:firstLineChars="200"/>
        <w:rPr>
          <w:kern w:val="0"/>
          <w:sz w:val="32"/>
          <w:szCs w:val="32"/>
        </w:rPr>
      </w:pPr>
      <w:r>
        <w:rPr>
          <w:rFonts w:hint="eastAsia"/>
          <w:kern w:val="0"/>
          <w:sz w:val="32"/>
          <w:szCs w:val="32"/>
        </w:rPr>
        <w:t>（三）严格控制三公经费，公务接待尽量在单位食堂开餐，职工出差乘坐公共交通工具，减少公务用车开支。</w:t>
      </w:r>
    </w:p>
    <w:p w14:paraId="77493BA5">
      <w:pPr>
        <w:spacing w:line="560" w:lineRule="exact"/>
        <w:ind w:firstLine="640" w:firstLineChars="200"/>
        <w:rPr>
          <w:kern w:val="0"/>
          <w:sz w:val="32"/>
          <w:szCs w:val="32"/>
        </w:rPr>
      </w:pPr>
      <w:r>
        <w:rPr>
          <w:rFonts w:hint="eastAsia"/>
          <w:kern w:val="0"/>
          <w:sz w:val="32"/>
          <w:szCs w:val="32"/>
        </w:rPr>
        <w:t>（四）强化学习教育,增强自律意识, 加强财务人员队伍建设，健全单位财务管理制度，规范单位财务行为，全面提升国土资源依法理财水平。</w:t>
      </w:r>
    </w:p>
    <w:p w14:paraId="28D903B9">
      <w:pPr>
        <w:spacing w:line="560" w:lineRule="exact"/>
        <w:ind w:firstLine="640" w:firstLineChars="200"/>
        <w:rPr>
          <w:kern w:val="0"/>
          <w:sz w:val="32"/>
          <w:szCs w:val="32"/>
        </w:rPr>
      </w:pPr>
      <w:r>
        <w:rPr>
          <w:rFonts w:hint="eastAsia"/>
          <w:kern w:val="0"/>
          <w:sz w:val="32"/>
          <w:szCs w:val="32"/>
        </w:rPr>
        <w:t>（五）及时受理相关业务，在规定时限内办结，加大人员培训力度，端正思想认识优化服务质量，提高社会公众及服务对象的满意度。</w:t>
      </w:r>
    </w:p>
    <w:p w14:paraId="217EB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14:paraId="4331E6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21F8C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Calibri" w:hAnsi="Calibri" w:eastAsia="仿宋_GB2312" w:cs="Calibri"/>
          <w:i w:val="0"/>
          <w:iCs w:val="0"/>
          <w:caps w:val="0"/>
          <w:color w:val="000000"/>
          <w:spacing w:val="0"/>
          <w:sz w:val="24"/>
          <w:szCs w:val="24"/>
          <w:lang w:eastAsia="zh-CN"/>
        </w:rPr>
      </w:pPr>
      <w:r>
        <w:rPr>
          <w:rFonts w:hint="eastAsia" w:ascii="Calibri" w:hAnsi="Calibri" w:cs="Calibri"/>
          <w:i w:val="0"/>
          <w:iCs w:val="0"/>
          <w:caps w:val="0"/>
          <w:color w:val="000000"/>
          <w:spacing w:val="0"/>
          <w:sz w:val="24"/>
          <w:szCs w:val="24"/>
          <w:lang w:eastAsia="zh-CN"/>
        </w:rPr>
        <w:t>无。</w:t>
      </w:r>
    </w:p>
    <w:p w14:paraId="020F1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FF4A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2DB6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E378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7A3F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2D8D4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044E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F984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1A9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7872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1E76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7B3B542">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abstractNum w:abstractNumId="1">
    <w:nsid w:val="6329195B"/>
    <w:multiLevelType w:val="singleLevel"/>
    <w:tmpl w:val="6329195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A34211D"/>
    <w:rsid w:val="1AFF25FF"/>
    <w:rsid w:val="1EA33F65"/>
    <w:rsid w:val="1F250F68"/>
    <w:rsid w:val="269E5DD8"/>
    <w:rsid w:val="2D9C292E"/>
    <w:rsid w:val="32636C88"/>
    <w:rsid w:val="49501A27"/>
    <w:rsid w:val="4B72396B"/>
    <w:rsid w:val="4DFB1CC3"/>
    <w:rsid w:val="6BB702BA"/>
    <w:rsid w:val="BFEDC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List Paragraph"/>
    <w:basedOn w:val="1"/>
    <w:qFormat/>
    <w:uiPriority w:val="99"/>
    <w:pPr>
      <w:ind w:firstLine="420" w:firstLineChars="200"/>
    </w:pPr>
    <w:rPr>
      <w:rFonts w:ascii="Times New Roman" w:hAnsi="Times New Roman"/>
      <w:szCs w:val="24"/>
    </w:rPr>
  </w:style>
  <w:style w:type="character" w:customStyle="1" w:styleId="6">
    <w:name w:val="15"/>
    <w:basedOn w:val="4"/>
    <w:qFormat/>
    <w:uiPriority w:val="0"/>
    <w:rPr>
      <w:rFonts w:ascii="Calibri" w:hAnsi="Calibr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4996</Words>
  <Characters>5313</Characters>
  <Lines>0</Lines>
  <Paragraphs>0</Paragraphs>
  <TotalTime>2</TotalTime>
  <ScaleCrop>false</ScaleCrop>
  <LinksUpToDate>false</LinksUpToDate>
  <CharactersWithSpaces>5364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2021-09-17T15:11:00Z</dcterms:created>
  <dc:creator>Administrator</dc:creator>
  <cp:lastModifiedBy>Administrator</cp:lastModifiedBy>
  <dcterms:modified xsi:type="dcterms:W3CDTF">2025-04-14T08:34:10Z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C29C0BB2FB0B48B3BDD92D070B066487_13</vt:lpwstr>
  </property>
  <property fmtid="{D5CDD505-2E9C-101B-9397-08002B2CF9AE}" pid="4" name="KSOTemplateDocerSaveRecord">
    <vt:lpwstr>eyJoZGlkIjoiOGZlN2VhOWE2NmZiZDIyN2NjOGI4YzNlMzc2NmE1NWQifQ==</vt:lpwstr>
  </property>
</Properties>
</file>