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C2E5F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864C0C0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026A2E3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畜牧水产事务中心部门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41A24BBA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68355C4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848CC5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EF62E3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0975450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FF006D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23189D0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4D6ECA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8D3DF2D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1A6E0B02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 4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16 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65FAA4D0"/>
    <w:p w14:paraId="0593FDED"/>
    <w:p w14:paraId="56B40A22"/>
    <w:p w14:paraId="321A6DC3"/>
    <w:p w14:paraId="3E88EF83"/>
    <w:p w14:paraId="7F9AE7C9"/>
    <w:p w14:paraId="0F742BB3"/>
    <w:p w14:paraId="1B675E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F2416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畜牧水产事务中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0067E5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17116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5B3AC9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7F0780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sz w:val="32"/>
          <w:szCs w:val="32"/>
        </w:rPr>
        <w:t>机构设置和在职人员情况：根据城编办《关于印发〈城步苗族自治县畜牧局局职能配置、内设机构和人员编制规定〉的通知》，我局为县委、县政府主管全县畜牧事业的具有行政职能的正科级事业机构。现实有办公室、水产股、奶业办、质监办四个职能股（室），其中下有兽医局为二级机构，兽医局设有办公室和防疫股两个职能股室。</w:t>
      </w:r>
    </w:p>
    <w:p w14:paraId="30A10ED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169BBE6F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人员编制和领导职数：20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年年底我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中心</w:t>
      </w:r>
      <w:r>
        <w:rPr>
          <w:rFonts w:hint="eastAsia" w:ascii="宋体" w:hAnsi="宋体" w:eastAsia="宋体" w:cs="宋体"/>
          <w:sz w:val="32"/>
          <w:szCs w:val="32"/>
        </w:rPr>
        <w:t>总编制数为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</w:rPr>
        <w:t>名，其中行政编制1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人，事业编制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32"/>
          <w:szCs w:val="32"/>
        </w:rPr>
        <w:t>人。畜牧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水产事务中心</w:t>
      </w:r>
      <w:r>
        <w:rPr>
          <w:rFonts w:hint="eastAsia" w:ascii="宋体" w:hAnsi="宋体" w:eastAsia="宋体" w:cs="宋体"/>
          <w:sz w:val="32"/>
          <w:szCs w:val="32"/>
        </w:rPr>
        <w:t>机关及下级机构实有人数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32"/>
        </w:rPr>
        <w:t>人，其中畜牧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水产事务中心</w:t>
      </w:r>
      <w:r>
        <w:rPr>
          <w:rFonts w:hint="eastAsia" w:ascii="宋体" w:hAnsi="宋体" w:eastAsia="宋体" w:cs="宋体"/>
          <w:sz w:val="32"/>
          <w:szCs w:val="32"/>
        </w:rPr>
        <w:t>人数为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人，其中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主任</w:t>
      </w:r>
      <w:r>
        <w:rPr>
          <w:rFonts w:hint="eastAsia" w:ascii="宋体" w:hAnsi="宋体" w:eastAsia="宋体" w:cs="宋体"/>
          <w:sz w:val="32"/>
          <w:szCs w:val="32"/>
        </w:rPr>
        <w:t>1人，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副主任</w:t>
      </w:r>
      <w:r>
        <w:rPr>
          <w:rFonts w:hint="eastAsia" w:ascii="宋体" w:hAnsi="宋体" w:eastAsia="宋体" w:cs="宋体"/>
          <w:sz w:val="32"/>
          <w:szCs w:val="32"/>
        </w:rPr>
        <w:t>2人，工会主席1人；兽医局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及其他二级机构</w:t>
      </w:r>
      <w:r>
        <w:rPr>
          <w:rFonts w:hint="eastAsia" w:ascii="宋体" w:hAnsi="宋体" w:eastAsia="宋体" w:cs="宋体"/>
          <w:sz w:val="32"/>
          <w:szCs w:val="32"/>
        </w:rPr>
        <w:t>人数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A6CF2E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6A1E66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734396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）乡镇防疫硬件设施进一步改善：提高全县防疫工作的覆盖率。（2）维护并提高畜牧业的稳定发展：根据政策鼓励畜牧业的创业发展，该提供资金支持的提供资金支持，该进行专业技术推广帮助的进行专业技术帮助，使国家政策及其相关的专项经费真正落到实处。（3）做好水产业、奶产业及其其他畜牧产业的安全生产相关工作。鼓励发展是一方面，其次就是做好这一系类的安全监管的工作，做好安全生产经营的宣传教育工作，并不定时抽查情况，确保畜禽水产品的安全稳定产出。（4）畜牧人才队伍建设进一步加强。</w:t>
      </w:r>
    </w:p>
    <w:p w14:paraId="6F9382B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46F802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170F1F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根据各个专项的防疫密度、免疫成功率、检疫率、值守率、质量抽检次数、屠宰监管次数、会议培训次数等数量指标，和工作任务完成速度的时效指标及产生的经济效益、社会效益等指标进行综合评分。</w:t>
      </w:r>
    </w:p>
    <w:p w14:paraId="70DC73F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48A4B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61E8F30C">
      <w:pPr>
        <w:pStyle w:val="5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1B61812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77B68FB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487.79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487.79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487.79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377.8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109.99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6C40F52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0700137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1629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1141.21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1629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794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48.74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835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51.26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其他事项工作运转需要追加预算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0F5DB46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6395D95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550F9CE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00888D9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2E3212DB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4328D12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14C045E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本单位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政府性基金的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140.46万元，为玉龙洞提质改造项目征地补偿款。</w:t>
      </w:r>
    </w:p>
    <w:p w14:paraId="34A8DB1E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5F96C1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本单位无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3A2ECC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4B4276E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本单位无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社会保险基金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83FA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4A4D54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9.7分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评价等级</w:t>
      </w: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为良好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6E73523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本年度</w:t>
      </w:r>
      <w:r>
        <w:rPr>
          <w:rFonts w:hint="eastAsia" w:ascii="仿宋" w:hAnsi="仿宋" w:eastAsia="仿宋" w:cs="仿宋"/>
          <w:bCs/>
          <w:sz w:val="32"/>
          <w:szCs w:val="32"/>
        </w:rPr>
        <w:t>工作完成率、工作完成及时率、质量达标率都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较好的达到了预期目标</w:t>
      </w:r>
      <w:r>
        <w:rPr>
          <w:rFonts w:hint="eastAsia" w:ascii="仿宋" w:hAnsi="仿宋" w:eastAsia="仿宋" w:cs="仿宋"/>
          <w:bCs/>
          <w:sz w:val="32"/>
          <w:szCs w:val="32"/>
        </w:rPr>
        <w:t>，该年度防疫工作在全市考核评估中排名第一，较好实现了预期目标。人员经费保证了工作人员安心工作，全心全意服务社会、服务群众；办公设备的配置和完善大大提高了工作效率、也为工作人员和群众提供了一个好的方便干净的环境。办公费用保证了单位的正常运转和档案安全有效的保管保护。“三公”经费也是一个单位部门存在、发展的必要开支，我们尽量做到厉行节约，遵守党纪法规和财经纪律，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Cs/>
          <w:sz w:val="32"/>
          <w:szCs w:val="32"/>
        </w:rPr>
        <w:t>年度的“三公”经费控制工作得到上级部门的充分肯定。社会公众（服务对象）对本单位工作越来越满意，表现在：我们的工作人员热情周到，提供防疫物资及畜牧发展方面的技术咨询方便快捷，防疫物资是在机关直接领取，咨询相关畜牧技术问题有专业技术人员且全免费。整个年度评分100分，自评得分是9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分，在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个地方扣了分：是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免疫成功</w:t>
      </w:r>
      <w:r>
        <w:rPr>
          <w:rFonts w:hint="eastAsia" w:ascii="仿宋" w:hAnsi="仿宋" w:eastAsia="仿宋" w:cs="仿宋"/>
          <w:bCs/>
          <w:sz w:val="32"/>
          <w:szCs w:val="32"/>
        </w:rPr>
        <w:t>率上没有得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满</w:t>
      </w:r>
      <w:r>
        <w:rPr>
          <w:rFonts w:hint="eastAsia" w:ascii="仿宋" w:hAnsi="仿宋" w:eastAsia="仿宋" w:cs="仿宋"/>
          <w:bCs/>
          <w:sz w:val="32"/>
          <w:szCs w:val="32"/>
        </w:rPr>
        <w:t>分，扣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分。</w:t>
      </w:r>
      <w:bookmarkStart w:id="0" w:name="_GoBack"/>
      <w:bookmarkEnd w:id="0"/>
    </w:p>
    <w:p w14:paraId="106B16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123E5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4D2ED223">
      <w:pPr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对于存在的有些问题，比如“单位依据整体绩效目标所设定的绩效指标是否清晰、细化、可衡量”觉得有点难度，对于管制度方面的健全上可以在以后的工作中加以完善。</w:t>
      </w:r>
    </w:p>
    <w:p w14:paraId="059F2DC2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0F3AB31E">
      <w:pPr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对于存在的有些问题单位依据整体绩效目标所设定的绩效指标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更</w:t>
      </w:r>
      <w:r>
        <w:rPr>
          <w:rFonts w:hint="eastAsia" w:ascii="宋体" w:hAnsi="宋体" w:eastAsia="宋体" w:cs="宋体"/>
          <w:bCs/>
          <w:sz w:val="32"/>
          <w:szCs w:val="32"/>
        </w:rPr>
        <w:t>清晰、细化、可衡量，对于管制度方面的健全上加以完善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，制度细则安排得更为合理</w:t>
      </w:r>
      <w:r>
        <w:rPr>
          <w:rFonts w:hint="eastAsia" w:ascii="宋体" w:hAnsi="宋体" w:eastAsia="宋体" w:cs="宋体"/>
          <w:bCs/>
          <w:sz w:val="32"/>
          <w:szCs w:val="32"/>
        </w:rPr>
        <w:t>。</w:t>
      </w:r>
    </w:p>
    <w:p w14:paraId="65F3E56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FD9C1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187FFE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E7F83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Calibri" w:hAnsi="Calibri" w:eastAsia="仿宋_GB2312" w:cs="Calibr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无。</w:t>
      </w:r>
    </w:p>
    <w:p w14:paraId="630AFF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0304A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7664E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5B135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9F1CE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4BD70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285D7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75F84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287A9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012F1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3F72A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072C748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DFC73"/>
    <w:multiLevelType w:val="singleLevel"/>
    <w:tmpl w:val="2F0DFC7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E765BD"/>
    <w:multiLevelType w:val="singleLevel"/>
    <w:tmpl w:val="53E765B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  <w:docVar w:name="KSO_WPS_MARK_KEY" w:val="2cad2da4-8c74-4208-b950-09c4ddb6f378"/>
  </w:docVars>
  <w:rsids>
    <w:rsidRoot w:val="00000000"/>
    <w:rsid w:val="1EA33F65"/>
    <w:rsid w:val="269E5DD8"/>
    <w:rsid w:val="32636C88"/>
    <w:rsid w:val="3BB14BAF"/>
    <w:rsid w:val="4B72396B"/>
    <w:rsid w:val="658658AE"/>
    <w:rsid w:val="79F5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1797</Words>
  <Characters>1905</Characters>
  <Lines>0</Lines>
  <Paragraphs>0</Paragraphs>
  <TotalTime>2</TotalTime>
  <ScaleCrop>false</ScaleCrop>
  <LinksUpToDate>false</LinksUpToDate>
  <CharactersWithSpaces>1913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cp:lastPrinted>2025-04-16T02:54:34Z</cp:lastPrinted>
  <dcterms:modified xsi:type="dcterms:W3CDTF">2025-04-16T02:55:52Z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D1BA0F076F3F45F5A4EC113A94463AE6_12</vt:lpwstr>
  </property>
  <property fmtid="{D5CDD505-2E9C-101B-9397-08002B2CF9AE}" pid="4" name="KSOTemplateDocerSaveRecord">
    <vt:lpwstr>eyJoZGlkIjoiYmYwNTA1ZWMwYzQxM2M4ZTliZjM5NDIzMGJiZjYzMTUifQ==</vt:lpwstr>
  </property>
</Properties>
</file>