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0BED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1C35BCB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120AD6C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城市管理和综合执法局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18591B44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7A481B6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590FC7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DADD49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57285E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E24BA4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831D88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E8138A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5AA1D0B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43594625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14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306FB586">
      <w:bookmarkStart w:id="3" w:name="_GoBack"/>
      <w:bookmarkEnd w:id="3"/>
    </w:p>
    <w:p w14:paraId="30322F45"/>
    <w:p w14:paraId="67F4E218"/>
    <w:p w14:paraId="6559DFEE"/>
    <w:p w14:paraId="30E439BD"/>
    <w:p w14:paraId="5AE9E26C"/>
    <w:p w14:paraId="4B456A0E"/>
    <w:p w14:paraId="16396A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309E6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城市管理和综合执法局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14133F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8D680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城市管理和综合执法局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基本情况</w:t>
      </w:r>
    </w:p>
    <w:p w14:paraId="573A87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2AD96E2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1.办公室，2.政工装备股(挂数字城管督查指挥中心牌子)，</w:t>
      </w:r>
    </w:p>
    <w:p w14:paraId="293A44B6">
      <w:pPr>
        <w:spacing w:line="570" w:lineRule="atLeas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3.法规宣教股，4.综合业务股。</w:t>
      </w:r>
      <w:bookmarkEnd w:id="0"/>
    </w:p>
    <w:p w14:paraId="1BA8AEB1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1DC60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我局为县人民政府独立的行政支付机构，系正科级全额拨款一级预算单位。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核定编制数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名，行政编制，现有在职在岗在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人，离退休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人，临时工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人，其中：纳入本单位部门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在职在岗在编统发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人，非统发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人。车辆编制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辆，现有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公务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车辆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执法用车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2辆，特种车辆1辆（餐厨垃圾收集车）。</w:t>
      </w:r>
    </w:p>
    <w:p w14:paraId="1657E1E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670AA6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履行以下9项职责：1、负责贯彻执行国家有关城市管理的法律法规，参与拟订县人民政府加强对城市管理方面的规范性文件，负责全县城市管理的统一规划，协调和督促检查、考核考评工作；2、负责县城规划区市容环境卫生综合协调、监督管理、检查考核；负责城市环境综合整治管理；负责县城规划区卫生基础设施建设计划、协调、实施和维护管理；负责城市道路占用、渣土、户外广告场地、县城广场、游园等公共场地的管理承担县城市管理委员会的日常工作。3、行使市容环境卫生管理方面法律、法规、规章、规定的行政处罚权；4、行使城乡规划管理方面法律、法规、规章、规定的部分行政处罚权；5、行使园林绿化管理方面法律、法规、规章、规定的行政处罚权；6、行使市政管理方面法律、法规、规章、规定的行政处罚权；7、行使环境保护方面法律、法规、规章、规定的部分行政处罚权；8、行使工商行政管理方面法律、法规、规章、规定的部分行政处罚权；9、行使公安交通管理方面法律、法规、规章、规定的部分行政处罚权行使。</w:t>
      </w:r>
    </w:p>
    <w:p w14:paraId="4F138EE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511C6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紧紧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围绕全县中心工作，忠实履行城市管理行政执法职能，为我县经济发展营造良好环境。积极参与县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政府等大型活动工作，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全面开展创文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创卫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.圆满完成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第三届邵阳旅游发展大会等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工作，不断改进执法办案的方式方法，严格按程序办案，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加强蓝天保卫战工作；全面开展城市绿化和公用事业管理工作；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全面开展禁炮工作,加强禁炮宣传力度,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持续开展人居环境卫生整治，积极推进级环境卫生整治工作。</w:t>
      </w:r>
    </w:p>
    <w:p w14:paraId="1B55CE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72036EB1">
      <w:pPr>
        <w:pStyle w:val="8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43D3E40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5E43A618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年年初预算安排收入</w:t>
      </w:r>
      <w:r>
        <w:rPr>
          <w:rFonts w:hint="eastAsia" w:ascii="仿宋" w:hAnsi="仿宋" w:eastAsia="仿宋" w:cs="仿宋"/>
          <w:sz w:val="32"/>
          <w:szCs w:val="32"/>
        </w:rPr>
        <w:t xml:space="preserve">215.30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万元，其中一般公共财政拨款</w:t>
      </w:r>
      <w:r>
        <w:rPr>
          <w:rFonts w:hint="eastAsia" w:ascii="仿宋" w:hAnsi="仿宋" w:eastAsia="仿宋" w:cs="仿宋"/>
          <w:sz w:val="32"/>
          <w:szCs w:val="32"/>
        </w:rPr>
        <w:t>215.30 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社会保障和就业支出 10.64 万元，卫生健康支出 4.51 万元，城乡社区支出 193.87 万元，住房保障支出 6.28 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年年初预算安排支出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215.30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社会保障和就业支出 10.64 万元，卫生健康支出 4.51 万元，城乡社区支出 193.87 万元，住房保障支出 6.28 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；其中：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基本支出</w:t>
      </w:r>
      <w:bookmarkStart w:id="1" w:name="BMZTZCJXMB_JBZC_AMT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101.12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万元，项目支出</w:t>
      </w:r>
      <w:bookmarkStart w:id="2" w:name="BMZTZCJXMB_XMZC_AMT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114.18</w:t>
      </w:r>
      <w:bookmarkEnd w:id="2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万元，</w:t>
      </w:r>
    </w:p>
    <w:p w14:paraId="7E0B3E80"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部门决算情况</w:t>
      </w:r>
    </w:p>
    <w:p w14:paraId="197FFC47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467.2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251.9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467.2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110.78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23.71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356.22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76.25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垃圾中转站项目支付</w:t>
      </w:r>
      <w:r>
        <w:rPr>
          <w:rFonts w:hint="eastAsia" w:cs="Times New Roman"/>
          <w:sz w:val="32"/>
          <w:szCs w:val="32"/>
          <w:lang w:val="en-US" w:eastAsia="zh-CN"/>
        </w:rPr>
        <w:t>136.64万元，垃圾中转站前期工作经费开支80万元，第三届邵阳旅游发展大会开支及创文创卫工作、拆违控违、乡村振兴、公众责任险等工作开支139.58万元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E384F7A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70FAEAD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  <w:r>
        <w:rPr>
          <w:rFonts w:hint="eastAsia" w:cs="Times New Roman"/>
          <w:sz w:val="32"/>
          <w:szCs w:val="32"/>
          <w:lang w:eastAsia="zh-CN"/>
        </w:rPr>
        <w:t>：2024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1FAE29E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205.37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42万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136.64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26.73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73646407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6B6AC04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城市管理和综合执法局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2024年度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136.64万元，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使用情况。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用于垃圾中转站项目建设支出</w:t>
      </w:r>
    </w:p>
    <w:p w14:paraId="5C9B763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0DBB6C8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城市管理和综合执法局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2024年度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使用情况。</w:t>
      </w:r>
    </w:p>
    <w:p w14:paraId="05D49A3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2D27D71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城市管理和综合执法局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2024年度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则写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该项资金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使用情况。</w:t>
      </w:r>
    </w:p>
    <w:p w14:paraId="65D44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205D0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反映自评得分及评价等级。</w:t>
      </w:r>
    </w:p>
    <w:p w14:paraId="7AE5E2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通过核实数据、查阅资料、综合分析，城步苗族自治县城市管理和综合执法局2024年度部门整体支出绩效评价得分96分，撰写了绩效自评报告，并在政府门户网站予以公开。</w:t>
      </w:r>
    </w:p>
    <w:p w14:paraId="46BAE9F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</w:p>
    <w:p w14:paraId="4F39A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年我局在县委、县政府的正确领导下，坚持以习近平新时代中国特色社会主义思想为引领，主动作为，奋发有为，全局社会反响呈现良好局面。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年我局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围绕全县中心工作，忠实履行城市管理行政执法职能，为我县经济发展营造良好环境。积极参与县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政府等大型活动工作，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全面开展创文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创卫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.圆满完成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第三届邵阳旅游发展大会等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工作，不断改进执法办案的方式方法，严格按程序办案，防止因自身执法不当损害地方投资和发展环境、损害守法企业和企业家的合法权益。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加强蓝天保卫战工作；全面开展城市绿化和公用事业管理工作；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全面开展禁炮工作,加强禁炮宣传力度,采取不同方式进行禁炮宣传,制定相关禁炮制定,实行24小时值班制度。使禁炮工作得到顺利开展和获得完全胜利。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人居环境全面提升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持续开展人居环境卫生整治，积极推进级环境卫生整治工作。</w:t>
      </w:r>
    </w:p>
    <w:p w14:paraId="51F405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60CF216D">
      <w:pPr>
        <w:pStyle w:val="5"/>
        <w:numPr>
          <w:ilvl w:val="0"/>
          <w:numId w:val="0"/>
        </w:numPr>
        <w:spacing w:beforeAutospacing="0" w:afterAutospacing="0" w:line="432" w:lineRule="auto"/>
        <w:ind w:leftChars="200" w:firstLine="640" w:firstLineChars="20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在资金预算安排、使用过程中存在以下几个问题：1、政策性经费支出预算安排不足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国家有相关政策规定，但预算安排不足，无法满足实际需求。譬如我局执法成本高、难度大，但是财政预算办公经费只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8.4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万元，实际支出为:</w:t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60.44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万元，缺口达</w:t>
      </w:r>
      <w:r>
        <w:rPr>
          <w:rFonts w:hint="eastAsia" w:ascii="仿宋_GB2312" w:hAnsi="仿宋_GB2312" w:cs="仿宋_GB2312"/>
          <w:color w:val="333333"/>
          <w:sz w:val="32"/>
          <w:szCs w:val="32"/>
          <w:lang w:val="en-US" w:eastAsia="zh-CN"/>
        </w:rPr>
        <w:t>52.04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万元，只能调剂其他资金使用。2、其他城市管理工作运行资金需求大，预算无法满足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随着我县城市管理工作的不断深入和开展，城市管理执法成本愈来愈高，比如办公设施不健全、执法人员培训经费不足等等，维持日常各方面城市管理工作的费用逐年增大，影响我局正常的运转。3、行政编制8名，实际在职人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人，长期从环卫和城管大队等有关单位抽调6工作人员从事相关工作，但是抽调人员的工作经费财政无法供养。</w:t>
      </w:r>
    </w:p>
    <w:p w14:paraId="2B5A1EE1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36AF68D5">
      <w:pPr>
        <w:pStyle w:val="5"/>
        <w:numPr>
          <w:ilvl w:val="0"/>
          <w:numId w:val="0"/>
        </w:numPr>
        <w:shd w:val="clear" w:color="auto" w:fill="FFFFFF"/>
        <w:spacing w:beforeAutospacing="0" w:afterAutospacing="0" w:line="315" w:lineRule="atLeast"/>
        <w:ind w:firstLine="960" w:firstLineChars="3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（一）积极与县委、县政府及县财政部门衔接，调增人员基本支出的预算安排。根据城市管理工作需要及我局业务开展、人员情况需求，逐项做出预算计划，不留缺口，不留空项。</w:t>
      </w:r>
    </w:p>
    <w:p w14:paraId="752EB4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（二）县编制及人事部门应尽快落实人员编制，有利于更好开展城市管理工作。</w:t>
      </w:r>
    </w:p>
    <w:p w14:paraId="6F20B6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leftChars="0" w:right="0" w:firstLine="72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三) 加强专业知识学习，应用知识技能解决实际困难，严把资金收付关，按实按需控制单位开支，做到每一分钱用在刀刃上。</w:t>
      </w:r>
    </w:p>
    <w:p w14:paraId="0AF4C870">
      <w:pPr>
        <w:pStyle w:val="5"/>
        <w:shd w:val="clear" w:color="auto" w:fill="FFFFFF"/>
        <w:spacing w:beforeAutospacing="0" w:afterAutospacing="0" w:line="315" w:lineRule="atLeast"/>
        <w:ind w:left="0" w:leftChars="0" w:firstLine="640" w:firstLineChars="200"/>
        <w:jc w:val="both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下一步，我局将继续高度重视部门绩效工作，力求全面客观评价城市管理工作绩效情况，花最少的钱办最好的事，在探索中总结经验，在实践中规范完善制度，不断提升城市管理工作绩效，进一步发挥城市管理工作职能作用，为我县经济发展保驾护航，作出更大贡献。</w:t>
      </w:r>
    </w:p>
    <w:p w14:paraId="62F082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132DD0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724C4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710EA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67999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413F1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B7D5A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40FB2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BCBD0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0F5FD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1C127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85DFD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B7B7F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AA20EA0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3811C"/>
    <w:multiLevelType w:val="singleLevel"/>
    <w:tmpl w:val="BE73811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3B99B7"/>
    <w:multiLevelType w:val="singleLevel"/>
    <w:tmpl w:val="D63B99B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74358F"/>
    <w:multiLevelType w:val="singleLevel"/>
    <w:tmpl w:val="F57435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44491FB"/>
    <w:multiLevelType w:val="singleLevel"/>
    <w:tmpl w:val="744491F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1EA33F65"/>
    <w:rsid w:val="22107181"/>
    <w:rsid w:val="269E5DD8"/>
    <w:rsid w:val="2CF60234"/>
    <w:rsid w:val="32636C88"/>
    <w:rsid w:val="4B72396B"/>
    <w:rsid w:val="764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99"/>
    <w:pPr>
      <w:ind w:firstLine="600"/>
    </w:pPr>
    <w:rPr>
      <w:rFonts w:eastAsia="仿宋_GB2312"/>
      <w:sz w:val="3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2634</Words>
  <Characters>2814</Characters>
  <Lines>0</Lines>
  <Paragraphs>0</Paragraphs>
  <TotalTime>14</TotalTime>
  <ScaleCrop>false</ScaleCrop>
  <LinksUpToDate>false</LinksUpToDate>
  <CharactersWithSpaces>2849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dcterms:modified xsi:type="dcterms:W3CDTF">2025-04-15T05:17:07Z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67CBB390E8AF43FC816C09BC4B27948F_13</vt:lpwstr>
  </property>
  <property fmtid="{D5CDD505-2E9C-101B-9397-08002B2CF9AE}" pid="4" name="KSOTemplateDocerSaveRecord">
    <vt:lpwstr>eyJoZGlkIjoiZGFkZjkxZjkzNDBmNWMzMDE5NzRmN2E2NjFkZTYzMTUifQ==</vt:lpwstr>
  </property>
</Properties>
</file>