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5D525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2004C93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85F5B20">
      <w:pPr>
        <w:jc w:val="center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eastAsia="方正小标宋_GBK" w:cs="Times New Roman"/>
          <w:sz w:val="44"/>
          <w:szCs w:val="44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城步苗族自治县</w:t>
      </w:r>
      <w:r>
        <w:rPr>
          <w:rFonts w:hint="eastAsia" w:eastAsia="方正小标宋_GBK" w:cs="Times New Roman"/>
          <w:sz w:val="44"/>
          <w:szCs w:val="44"/>
          <w:lang w:eastAsia="zh-CN"/>
        </w:rPr>
        <w:t>住房保障服务中心</w:t>
      </w:r>
    </w:p>
    <w:p w14:paraId="78D8786E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整体支出绩效自评报告</w:t>
      </w:r>
    </w:p>
    <w:p w14:paraId="79ADD977">
      <w:pPr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 w14:paraId="6B7C52D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C45389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1E0D55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08F345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DCEF43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DE3497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0E18E1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ED27BA9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7A28B9D8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 4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 15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5EC653F5"/>
    <w:p w14:paraId="7B1D3E70"/>
    <w:p w14:paraId="43B8ED0B"/>
    <w:p w14:paraId="3EBAB89A"/>
    <w:p w14:paraId="1EFA1EA7"/>
    <w:p w14:paraId="3CB43E93"/>
    <w:p w14:paraId="6C488240"/>
    <w:p w14:paraId="1F17EA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A63BD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城步苗族自治县住房保服务中心</w:t>
      </w:r>
    </w:p>
    <w:p w14:paraId="5EBED5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 w14:paraId="26A30A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78718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47419F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7E54E9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1、在职人员情况：县</w:t>
      </w:r>
      <w:r>
        <w:rPr>
          <w:rFonts w:hint="eastAsia"/>
          <w:color w:val="auto"/>
          <w:sz w:val="32"/>
          <w:szCs w:val="32"/>
          <w:lang w:val="en-US" w:eastAsia="zh-CN"/>
        </w:rPr>
        <w:t>住房保障服务中心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编制人数18人，实有人数</w:t>
      </w:r>
      <w:r>
        <w:rPr>
          <w:rFonts w:hint="eastAsia"/>
          <w:color w:val="auto"/>
          <w:sz w:val="32"/>
          <w:szCs w:val="32"/>
          <w:lang w:val="en-US" w:eastAsia="zh-CN"/>
        </w:rPr>
        <w:t>14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，缺编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人，内设机构8个，分别是综合股、政工股、计划财务股、信息档案与租赁补贴发放股、安居工程股、保障房管理事务股、物业管理事务股、物业专项维修资金管理股。</w:t>
      </w:r>
    </w:p>
    <w:p w14:paraId="58D13C0F">
      <w:pPr>
        <w:adjustRightInd w:val="0"/>
        <w:snapToGrid w:val="0"/>
        <w:spacing w:line="600" w:lineRule="exact"/>
        <w:ind w:firstLine="960" w:firstLineChars="3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2、机构设置：内设机构8个，分别是综合股、政工股、计划财务股、信息档案与租赁补贴发放股、安居工程股、保障房管理事务股、物业管理事务股、物业专项维修资金管理股。</w:t>
      </w:r>
    </w:p>
    <w:p w14:paraId="0752F53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3B91281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960" w:firstLineChars="3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在职人员情况：县</w:t>
      </w:r>
      <w:r>
        <w:rPr>
          <w:rFonts w:hint="eastAsia"/>
          <w:color w:val="auto"/>
          <w:sz w:val="32"/>
          <w:szCs w:val="32"/>
          <w:lang w:val="en-US" w:eastAsia="zh-CN"/>
        </w:rPr>
        <w:t>住房保障服务中心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编制人数18人，实有人数</w:t>
      </w:r>
      <w:r>
        <w:rPr>
          <w:rFonts w:hint="eastAsia"/>
          <w:color w:val="auto"/>
          <w:sz w:val="32"/>
          <w:szCs w:val="32"/>
          <w:lang w:val="en-US" w:eastAsia="zh-CN"/>
        </w:rPr>
        <w:t>14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人，缺编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/>
          <w:color w:val="auto"/>
          <w:sz w:val="32"/>
          <w:szCs w:val="32"/>
          <w:lang w:val="en-US" w:eastAsia="zh-CN"/>
        </w:rPr>
        <w:t>。</w:t>
      </w:r>
    </w:p>
    <w:p w14:paraId="19240F3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02E03A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①参与拟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全县住房保障政策、年度计划和规范性文件；参与组织实施全县保障性住房、城市棚户区改造发展规划和年度计划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12FA3B82"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承担全县由政府投资的公共租赁住房的建设、分配、管理、维修维护等事务性、服务性工作。</w:t>
      </w:r>
    </w:p>
    <w:p w14:paraId="17D26666"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承担全县公共租赁住房保障对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象审核登记、动态服务和全县公共租赁住房补贴审核与发放等事务性工作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0B47FFD">
      <w:pPr>
        <w:adjustRightInd w:val="0"/>
        <w:snapToGrid w:val="0"/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④承担组织全县保障性安居工程计划项目申报的事务性工作；配合做好县本级保障性安居工程专项补助金分配和拨付工作；</w:t>
      </w:r>
    </w:p>
    <w:p w14:paraId="33AFE89A"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⑤承担全县直管公房的经营、租赁、维护、改造和私房落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实政策事务性工作。</w:t>
      </w:r>
    </w:p>
    <w:p w14:paraId="2BECDC3B"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负责住房保障信息化工作，做好住房保障档案工作。</w:t>
      </w:r>
    </w:p>
    <w:p w14:paraId="3ED66CFB">
      <w:pPr>
        <w:adjustRightInd w:val="0"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负责全县物业专项维修资金的归集、管理和使用等工作；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承担物业管理活动的监督管理相关事务性、服务性工作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453C7D6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⑧完成县委、县政府和县住房和城乡建设局 (县人民防空办公室)交办的其他任务。</w:t>
      </w:r>
    </w:p>
    <w:p w14:paraId="59B3BF7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50CC32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设定了3个绩效目标：</w:t>
      </w:r>
    </w:p>
    <w:p w14:paraId="1E339A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960" w:firstLineChars="3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产出指标：质量、时效指标100%按时按质完成；</w:t>
      </w:r>
    </w:p>
    <w:p w14:paraId="2B7241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效益指标：社会效益影响度较高；</w:t>
      </w:r>
    </w:p>
    <w:p w14:paraId="7C0B6B2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960" w:firstLineChars="3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满意度指标：服务对象满意度达98%。</w:t>
      </w:r>
    </w:p>
    <w:p w14:paraId="4BB40B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6552B35C">
      <w:pPr>
        <w:pStyle w:val="8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2F6B847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4A3F181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232.011952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232.011952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232.011952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142.321952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89.69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4619FC5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05BA122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1626.933041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1394.921089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1626.933041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323.815818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1304.567223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工作需要追加年初预算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FCF810B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5E4B174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6F430F0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</w:t>
      </w:r>
      <w:r>
        <w:rPr>
          <w:rFonts w:hint="eastAsia" w:cs="Times New Roman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0.085万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0.085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DB8A00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政府采购执行情况</w:t>
      </w:r>
    </w:p>
    <w:p w14:paraId="3DC45508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3DB72F8E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2D53B74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城步县住房保障服务中心202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年无政府性基金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08DDB16E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3CA0EFC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城步县住房保障服务中心202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年无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C182A7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7341E65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城步县住房保障服务中心202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年无社会保险基金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33F30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63D141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反映自评得分及评价等级。</w:t>
      </w:r>
    </w:p>
    <w:p w14:paraId="6835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1、</w:t>
      </w:r>
      <w:r>
        <w:rPr>
          <w:rFonts w:hint="eastAsia" w:ascii="楷体" w:hAnsi="楷体" w:eastAsia="楷体" w:cs="楷体"/>
          <w:bCs/>
          <w:sz w:val="32"/>
          <w:szCs w:val="32"/>
        </w:rPr>
        <w:t>绩效目标完成情况：</w:t>
      </w:r>
      <w:r>
        <w:rPr>
          <w:rFonts w:hint="eastAsia" w:ascii="仿宋" w:hAnsi="仿宋" w:eastAsia="仿宋"/>
          <w:bCs/>
          <w:sz w:val="32"/>
          <w:szCs w:val="32"/>
        </w:rPr>
        <w:t>工作完成率、工作完成及时率、质量达标率都达到了100%。本部门整体支出和项目支出实行绩效目标管理，纳入202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年部门整体支出绩效目标的金额为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232.011952</w:t>
      </w:r>
      <w:r>
        <w:rPr>
          <w:rFonts w:hint="eastAsia" w:ascii="仿宋" w:hAnsi="仿宋" w:eastAsia="仿宋"/>
          <w:bCs/>
          <w:sz w:val="32"/>
          <w:szCs w:val="32"/>
        </w:rPr>
        <w:t>万元，</w:t>
      </w:r>
      <w:r>
        <w:rPr>
          <w:rFonts w:hint="eastAsia" w:ascii="仿宋" w:hAnsi="仿宋" w:eastAsia="仿宋" w:cs="Arial Unicode MS"/>
          <w:sz w:val="32"/>
          <w:szCs w:val="32"/>
        </w:rPr>
        <w:t>其中：基本支出</w:t>
      </w:r>
      <w:r>
        <w:rPr>
          <w:rFonts w:hint="eastAsia" w:ascii="仿宋" w:hAnsi="仿宋" w:eastAsia="仿宋" w:cs="Arial Unicode MS"/>
          <w:sz w:val="32"/>
          <w:szCs w:val="32"/>
          <w:lang w:val="en-US" w:eastAsia="zh-CN"/>
        </w:rPr>
        <w:t>142.321952</w:t>
      </w:r>
      <w:r>
        <w:rPr>
          <w:rFonts w:hint="eastAsia" w:ascii="仿宋" w:hAnsi="仿宋" w:eastAsia="仿宋" w:cs="Arial Unicode MS"/>
          <w:sz w:val="32"/>
          <w:szCs w:val="32"/>
        </w:rPr>
        <w:t>万元，项目支出</w:t>
      </w:r>
      <w:r>
        <w:rPr>
          <w:rFonts w:hint="eastAsia" w:ascii="仿宋" w:hAnsi="仿宋" w:eastAsia="仿宋" w:cs="Arial Unicode MS"/>
          <w:sz w:val="32"/>
          <w:szCs w:val="32"/>
          <w:lang w:val="en-US" w:eastAsia="zh-CN"/>
        </w:rPr>
        <w:t>89.69</w:t>
      </w:r>
      <w:r>
        <w:rPr>
          <w:rFonts w:hint="eastAsia" w:ascii="仿宋" w:hAnsi="仿宋" w:eastAsia="仿宋" w:cs="Arial Unicode MS"/>
          <w:sz w:val="32"/>
          <w:szCs w:val="32"/>
        </w:rPr>
        <w:t>万元</w:t>
      </w:r>
      <w:r>
        <w:rPr>
          <w:rFonts w:hint="eastAsia" w:ascii="仿宋" w:hAnsi="仿宋" w:eastAsia="仿宋" w:cs="Arial Unicode MS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完成了年初制订的绩效工作目标。</w:t>
      </w:r>
    </w:p>
    <w:p w14:paraId="3B5F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2、三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公经费列支情况：202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年，我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住保中心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严格落实中央和省政府关于党政机关厉行节约反对浪费的规定，切实规范公务消费行为，严格控制并尽量压缩“三公”经费、会议费、培训费、办公设备购置费和差旅费等办公性行政经费开支，严格执行《湖南省党政机关国内公务接待管理办法》，严把“三公”经费开支关，控制在预算范围，</w:t>
      </w:r>
      <w:r>
        <w:rPr>
          <w:rFonts w:hint="eastAsia" w:ascii="仿宋" w:hAnsi="仿宋" w:eastAsia="仿宋"/>
          <w:sz w:val="32"/>
          <w:szCs w:val="32"/>
        </w:rPr>
        <w:t>本年度我单位三公经费主要为公务接待费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0.085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B5EC1E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本年度整体支出绩效评价得分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98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分。</w:t>
      </w:r>
    </w:p>
    <w:p w14:paraId="016E946D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 w14:paraId="02AB9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1、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年单位在经费使用过程中加强管理，合理安排各项开支，精打细算，确保单位的正常运转，实现了收支平衡，年初设置目标绩效目标值100%完成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Cs/>
          <w:sz w:val="32"/>
          <w:szCs w:val="32"/>
        </w:rPr>
        <w:t>1、人员经费保证了工作人员安心工作，全心全意服务社会、服务群众；2、办公设备的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/>
          <w:bCs/>
          <w:sz w:val="32"/>
          <w:szCs w:val="32"/>
        </w:rPr>
        <w:t>完善大大提高了工作效率、也为工作人员提供了一个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舒适</w:t>
      </w:r>
      <w:r>
        <w:rPr>
          <w:rFonts w:hint="eastAsia" w:ascii="仿宋" w:hAnsi="仿宋" w:eastAsia="仿宋"/>
          <w:bCs/>
          <w:sz w:val="32"/>
          <w:szCs w:val="32"/>
        </w:rPr>
        <w:t>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办公</w:t>
      </w:r>
      <w:r>
        <w:rPr>
          <w:rFonts w:hint="eastAsia" w:ascii="仿宋" w:hAnsi="仿宋" w:eastAsia="仿宋"/>
          <w:bCs/>
          <w:sz w:val="32"/>
          <w:szCs w:val="32"/>
        </w:rPr>
        <w:t>环境。3、办公费用保证了单位的正常运转。4、“三公”经费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严格按照中央和省政府关于党政机关厉行节约反对浪费的规定执行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 w14:paraId="68709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社会公众（服务对象）对本单位工作越来越满意，表现在：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工作人员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秉持耐心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热情周到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服务的态度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全心全意为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公共租赁住房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对象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服好务，让服务对象满意而归</w:t>
      </w:r>
      <w:r>
        <w:rPr>
          <w:rFonts w:hint="eastAsia"/>
          <w:bCs/>
          <w:color w:val="000000"/>
          <w:sz w:val="32"/>
          <w:szCs w:val="32"/>
        </w:rPr>
        <w:t>。</w:t>
      </w:r>
    </w:p>
    <w:p w14:paraId="2CDF0BF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657B2D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存在的问题：支付进度缓慢。</w:t>
      </w:r>
    </w:p>
    <w:p w14:paraId="08F4FF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原因：财政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资金紧张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不能及时支付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54B756AA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6FE3CCE3">
      <w:pPr>
        <w:pStyle w:val="9"/>
        <w:spacing w:before="0" w:beforeAutospacing="0" w:after="0" w:afterAutospacing="0"/>
        <w:ind w:firstLine="480" w:firstLineChars="150"/>
        <w:jc w:val="both"/>
        <w:rPr>
          <w:rStyle w:val="7"/>
          <w:rFonts w:hint="eastAsia" w:ascii="仿宋" w:hAnsi="仿宋" w:eastAsia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（一）人员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短缺。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我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中心尚存余编，目前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正向相关部门积极要求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选调人员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，保障单位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相关工作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正常运行。</w:t>
      </w:r>
    </w:p>
    <w:p w14:paraId="56FBF640">
      <w:pPr>
        <w:pStyle w:val="9"/>
        <w:spacing w:before="0" w:beforeAutospacing="0" w:after="0" w:afterAutospacing="0"/>
        <w:ind w:firstLine="480" w:firstLineChars="150"/>
        <w:jc w:val="both"/>
        <w:rPr>
          <w:rStyle w:val="7"/>
          <w:rFonts w:ascii="仿宋" w:hAnsi="仿宋" w:eastAsia="仿宋"/>
          <w:b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</w:rPr>
        <w:t>（二）积极完善资产管理制度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保证制度的合法、合规、完整性。</w:t>
      </w:r>
    </w:p>
    <w:p w14:paraId="659C82E8">
      <w:pPr>
        <w:pStyle w:val="9"/>
        <w:spacing w:before="0" w:beforeAutospacing="0" w:after="0" w:afterAutospacing="0"/>
        <w:ind w:firstLine="480" w:firstLineChars="150"/>
        <w:jc w:val="both"/>
        <w:rPr>
          <w:rStyle w:val="7"/>
          <w:rFonts w:ascii="仿宋" w:hAnsi="仿宋" w:eastAsia="仿宋"/>
          <w:b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</w:rPr>
        <w:t>（三）严格控制三公经费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公务接待尽量在单位食堂开餐，职工出差乘坐公共交通工具，减少公务用车开支。</w:t>
      </w:r>
    </w:p>
    <w:p w14:paraId="36914CBF">
      <w:pPr>
        <w:pStyle w:val="9"/>
        <w:spacing w:before="0" w:beforeAutospacing="0" w:after="0" w:afterAutospacing="0"/>
        <w:ind w:firstLine="480" w:firstLineChars="150"/>
        <w:jc w:val="both"/>
        <w:rPr>
          <w:rStyle w:val="7"/>
          <w:rFonts w:ascii="仿宋" w:hAnsi="仿宋" w:eastAsia="仿宋"/>
          <w:b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</w:rPr>
        <w:t>（四）强化学习教育,增强自律意识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 xml:space="preserve"> 加强财务人员队伍建设，健全单位财务管理制度，规范单位财务行为，全面提升依法理财水平。</w:t>
      </w:r>
    </w:p>
    <w:p w14:paraId="6F6D2AF0">
      <w:pPr>
        <w:pStyle w:val="9"/>
        <w:spacing w:before="0" w:beforeAutospacing="0" w:after="0" w:afterAutospacing="0"/>
        <w:ind w:firstLine="480" w:firstLineChars="150"/>
        <w:jc w:val="both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/>
          <w:b w:val="0"/>
          <w:sz w:val="32"/>
          <w:szCs w:val="32"/>
        </w:rPr>
        <w:t>（五）及时受理相关业务</w:t>
      </w:r>
      <w:r>
        <w:rPr>
          <w:rStyle w:val="7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在规定时限内办结，加大人员培训力度，端正思想认识优化服务质量，提高社会公众及服务对象的满意度。</w:t>
      </w:r>
    </w:p>
    <w:p w14:paraId="0A7B00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5807E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仿宋" w:cs="仿宋"/>
          <w:sz w:val="32"/>
          <w:szCs w:val="32"/>
          <w:shd w:val="clear" w:color="auto" w:fill="FFFFFF"/>
          <w:lang w:eastAsia="zh-CN"/>
        </w:rPr>
        <w:t>中心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认真贯彻落实县委县政府决策部署，迎难而上、主动作为，扎实推进各项工作</w:t>
      </w:r>
      <w:r>
        <w:rPr>
          <w:rFonts w:hint="eastAsia" w:ascii="仿宋_GB2312" w:hAnsi="仿宋" w:cs="仿宋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根据《部门整体支出绩效评价指标》评分，</w:t>
      </w:r>
      <w:r>
        <w:rPr>
          <w:rFonts w:hint="eastAsia" w:ascii="仿宋_GB2312" w:hAnsi="仿宋" w:cs="仿宋"/>
          <w:sz w:val="32"/>
          <w:szCs w:val="32"/>
          <w:lang w:eastAsia="zh-CN"/>
        </w:rPr>
        <w:t>自评结果根据流程要求交由绩效法规股考核后对外公开。</w:t>
      </w:r>
    </w:p>
    <w:p w14:paraId="30DB91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ED7A6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B6A3E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5616D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133B1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D7A4C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4295B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959D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FC20B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2688C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2E91A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A18B4"/>
    <w:multiLevelType w:val="singleLevel"/>
    <w:tmpl w:val="C95A18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9E0428"/>
    <w:multiLevelType w:val="singleLevel"/>
    <w:tmpl w:val="CB9E042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2B7C730"/>
    <w:multiLevelType w:val="singleLevel"/>
    <w:tmpl w:val="E2B7C73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  <w:docVar w:name="KSO_WPS_MARK_KEY" w:val="2cad2da4-8c74-4208-b950-09c4ddb6f378"/>
  </w:docVars>
  <w:rsids>
    <w:rsidRoot w:val="00000000"/>
    <w:rsid w:val="056710B6"/>
    <w:rsid w:val="0FF76D67"/>
    <w:rsid w:val="14BF7632"/>
    <w:rsid w:val="14DE7716"/>
    <w:rsid w:val="14E61A90"/>
    <w:rsid w:val="16F77127"/>
    <w:rsid w:val="17B52FAD"/>
    <w:rsid w:val="1EA33F65"/>
    <w:rsid w:val="269E5DD8"/>
    <w:rsid w:val="295D045C"/>
    <w:rsid w:val="30215DC5"/>
    <w:rsid w:val="32636C88"/>
    <w:rsid w:val="33FD0333"/>
    <w:rsid w:val="3C6F358C"/>
    <w:rsid w:val="42EB54C2"/>
    <w:rsid w:val="46A20E7F"/>
    <w:rsid w:val="49D3076A"/>
    <w:rsid w:val="4B4768B2"/>
    <w:rsid w:val="4B72396B"/>
    <w:rsid w:val="4E09044C"/>
    <w:rsid w:val="4E2268B7"/>
    <w:rsid w:val="51537028"/>
    <w:rsid w:val="5D1C7BC9"/>
    <w:rsid w:val="70E212C3"/>
    <w:rsid w:val="71C1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firstLine="420" w:firstLineChars="200"/>
    </w:pPr>
    <w:rPr>
      <w:rFonts w:hint="eastAsia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int="eastAsia"/>
      <w:sz w:val="21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2222</Words>
  <Characters>2412</Characters>
  <Lines>0</Lines>
  <Paragraphs>0</Paragraphs>
  <TotalTime>9</TotalTime>
  <ScaleCrop>false</ScaleCrop>
  <LinksUpToDate>false</LinksUpToDate>
  <CharactersWithSpaces>2429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cp:lastPrinted>2025-04-16T03:06:00Z</cp:lastPrinted>
  <dcterms:modified xsi:type="dcterms:W3CDTF">2025-04-16T03:43:50Z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D1BA0F076F3F45F5A4EC113A94463AE6_12</vt:lpwstr>
  </property>
  <property fmtid="{D5CDD505-2E9C-101B-9397-08002B2CF9AE}" pid="4" name="KSOTemplateDocerSaveRecord">
    <vt:lpwstr>eyJoZGlkIjoiNzhlMjhlMGZiYTBlMzU3ZDJhZGIzYWYzMjMxNWU2ZmYifQ==</vt:lpwstr>
  </property>
</Properties>
</file>