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D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671CDDA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AB4D5A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10724A8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bookmarkStart w:id="0" w:name="_GoBack"/>
      <w:r>
        <w:rPr>
          <w:rFonts w:hint="eastAsia" w:eastAsia="方正小标宋_GBK" w:cs="Times New Roman"/>
          <w:sz w:val="52"/>
          <w:szCs w:val="52"/>
          <w:lang w:eastAsia="zh-CN"/>
        </w:rPr>
        <w:t>2024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</w:p>
    <w:p w14:paraId="3F30C481"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城步苗族自治县森林公安局</w:t>
      </w:r>
    </w:p>
    <w:p w14:paraId="6ABDD16C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  <w:bookmarkEnd w:id="0"/>
    </w:p>
    <w:p w14:paraId="1D07C66D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03E5148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5241E0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194E9C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37C69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F7D39E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A80289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C00572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6F184A5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524580E2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7FB40E4C"/>
    <w:p w14:paraId="337C582A"/>
    <w:p w14:paraId="75E1E4EE"/>
    <w:p w14:paraId="17A7CCA9"/>
    <w:p w14:paraId="704E21F9"/>
    <w:p w14:paraId="5091542E"/>
    <w:p w14:paraId="403BB9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eastAsia="方正小标宋_GBK" w:cs="Times New Roman"/>
          <w:sz w:val="44"/>
          <w:szCs w:val="44"/>
          <w:lang w:eastAsia="zh-CN"/>
        </w:rPr>
        <w:t>城步苗族自治县森林公安局</w:t>
      </w:r>
    </w:p>
    <w:p w14:paraId="1AB35F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3D186E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C839F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78DD2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0C041B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城步县森林公安局是县政府下设的职能部门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，为正科级行政单位。</w:t>
      </w:r>
    </w:p>
    <w:p w14:paraId="45B4271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2028E3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全局编制数51人，实有民警4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人，下设7林业派出所和3个队、所、股室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</w:t>
      </w:r>
    </w:p>
    <w:p w14:paraId="1452A9A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09E46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1、预防、制止和侦查各类破坏生态环境、生物安全违法犯罪；</w:t>
      </w:r>
    </w:p>
    <w:p w14:paraId="516F0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2、维护辖区社会治安秩序，制止危害林区社会治安秩序的行为；</w:t>
      </w:r>
    </w:p>
    <w:p w14:paraId="250FD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3、协同林业部门开展防火宣传、火灾隐患排查、重点区域巡护、违规用火处罚等工作；</w:t>
      </w:r>
    </w:p>
    <w:p w14:paraId="2531C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4、掌握生态环境、生物安全等领域犯罪动态，拟定预防、打击对策；组织开展对生态环境、生物安全等领域犯罪案件的侦查工作；</w:t>
      </w:r>
    </w:p>
    <w:p w14:paraId="7318D4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5、法律、法规规定的其他职责。</w:t>
      </w:r>
    </w:p>
    <w:p w14:paraId="2C6673F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（四）绩效目标设定情况</w:t>
      </w:r>
    </w:p>
    <w:p w14:paraId="138F303F"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强化森林资源保护职能，本年度绩效目标围绕"预防为主、打防结合"原则，重点设定四大核心指标：一是案件查处效能指标，要求涉林刑事案件破案率达90%以上，行政案件办结率不低于95%；二是防火防控指标，重点防火期宣传覆盖80%以上行政村、火灾成灾率控制在0.5‰以内；三是生态修复指标，建立涉林案件生态补偿机制，全年督促补植复绿面积不低于300亩；四是执法能力建设指标，要求基层民警全年参训达40学时，林区治安防控体系智能感知设备覆盖率提升20%。同步设置野生动物保护专项指标，建立重点物种栖息地巡查台账制度，确保重点区域月均巡护不少于4次。通过量化考核与过程督导相结合，推动森林公安执法从案件查处向生态综合治理转型。</w:t>
      </w:r>
    </w:p>
    <w:p w14:paraId="24ED36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666AA06A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20469A4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340431C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1417.11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1417.11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</w:t>
      </w: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1417.11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693.64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项目支出723.47万元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56E182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7197DC9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1141.4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</w:t>
      </w:r>
      <w:r>
        <w:rPr>
          <w:rFonts w:hint="eastAsia" w:cs="Times New Roman"/>
          <w:sz w:val="32"/>
          <w:szCs w:val="32"/>
          <w:lang w:val="en-US" w:eastAsia="zh-CN"/>
        </w:rPr>
        <w:t>减少275.71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1141.4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1062.02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93.05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79.38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6.95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val="en-US" w:eastAsia="zh-CN"/>
        </w:rPr>
        <w:t>办公楼装修工程未竣工验收，项目款未能及时支付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9E2919B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74F8599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34E5566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23.5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23.16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4.16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8023FC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6DABDA8F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176.45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176.45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7B7C589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CFD95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589D7E4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45A56B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3035CBA0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4377FDA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1A8F8E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24F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（一）绩效目标完成情况：</w:t>
      </w:r>
      <w:r>
        <w:rPr>
          <w:rFonts w:hint="eastAsia" w:ascii="仿宋" w:hAnsi="仿宋" w:eastAsia="仿宋"/>
          <w:bCs/>
          <w:sz w:val="32"/>
          <w:szCs w:val="32"/>
        </w:rPr>
        <w:t>工作完成率、工作完成及时率、质量达标率都达到了100%。本部门整体支出和项目支出实行绩效目标管理，纳入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bCs/>
          <w:sz w:val="32"/>
          <w:szCs w:val="32"/>
        </w:rPr>
        <w:t>年部门整体支出绩效目标的金额为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1141.4</w:t>
      </w:r>
      <w:r>
        <w:rPr>
          <w:rFonts w:hint="eastAsia" w:ascii="仿宋" w:hAnsi="仿宋" w:eastAsia="仿宋"/>
          <w:bCs/>
          <w:sz w:val="32"/>
          <w:szCs w:val="32"/>
        </w:rPr>
        <w:t>万元，</w:t>
      </w:r>
      <w:r>
        <w:rPr>
          <w:rFonts w:hint="eastAsia" w:ascii="仿宋" w:hAnsi="仿宋" w:eastAsia="仿宋" w:cs="Arial Unicode MS"/>
          <w:sz w:val="32"/>
          <w:szCs w:val="32"/>
        </w:rPr>
        <w:t>其中：基本支出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1062.02</w:t>
      </w:r>
      <w:r>
        <w:rPr>
          <w:rFonts w:hint="eastAsia" w:ascii="仿宋" w:hAnsi="仿宋" w:eastAsia="仿宋" w:cs="Arial Unicode MS"/>
          <w:sz w:val="32"/>
          <w:szCs w:val="32"/>
        </w:rPr>
        <w:t>万元，项目支出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79.38</w:t>
      </w:r>
      <w:r>
        <w:rPr>
          <w:rFonts w:hint="eastAsia" w:ascii="仿宋" w:hAnsi="仿宋" w:eastAsia="仿宋" w:cs="Arial Unicode MS"/>
          <w:sz w:val="32"/>
          <w:szCs w:val="32"/>
        </w:rPr>
        <w:t>万元</w:t>
      </w:r>
      <w:r>
        <w:rPr>
          <w:rFonts w:hint="eastAsia" w:ascii="仿宋" w:hAnsi="仿宋" w:eastAsia="仿宋" w:cs="Arial Unicode MS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完成了年初制订的绩效工作目标。</w:t>
      </w:r>
    </w:p>
    <w:p w14:paraId="5F3C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公经费列支情况：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，我局严格落实中央和省政府关于党政机关厉行节约反对浪费的规定，切实规范公务消费行为，严格控制并尽量压缩“三公”经费、会议费、培训费、办公设备购置费和差旅费等办公性行政经费开支，严格执行《湖南省党政机关国内公务接待管理办法》，严把“三公”经费开支关，控制在预算范围，</w:t>
      </w:r>
      <w:r>
        <w:rPr>
          <w:rFonts w:hint="eastAsia" w:ascii="仿宋" w:hAnsi="仿宋" w:eastAsia="仿宋"/>
          <w:sz w:val="32"/>
          <w:szCs w:val="32"/>
        </w:rPr>
        <w:t>本年度我单位三公经费主要为公务接待费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4.16万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84FA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反映履职效益情况：</w:t>
      </w: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年单位在经费使用过程中加强管理，合理安排各项开支，精打细算，确保单位的正常运转，实现了收支平衡，年初设置目标绩效目标值100%完成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t>1、人员经费保证了工作人员安心工作，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确保了我县林区社会治安稳定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生态安全</w:t>
      </w:r>
      <w:r>
        <w:rPr>
          <w:rFonts w:hint="eastAsia" w:ascii="仿宋" w:hAnsi="仿宋" w:eastAsia="仿宋"/>
          <w:bCs/>
          <w:sz w:val="32"/>
          <w:szCs w:val="32"/>
        </w:rPr>
        <w:t>；2、办公设备的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/>
          <w:bCs/>
          <w:sz w:val="32"/>
          <w:szCs w:val="32"/>
        </w:rPr>
        <w:t>完善大大提高了工作效率、也为工作人员提供了一个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舒适</w:t>
      </w:r>
      <w:r>
        <w:rPr>
          <w:rFonts w:hint="eastAsia" w:ascii="仿宋" w:hAnsi="仿宋" w:eastAsia="仿宋"/>
          <w:bCs/>
          <w:sz w:val="32"/>
          <w:szCs w:val="32"/>
        </w:rPr>
        <w:t>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办公</w:t>
      </w:r>
      <w:r>
        <w:rPr>
          <w:rFonts w:hint="eastAsia" w:ascii="仿宋" w:hAnsi="仿宋" w:eastAsia="仿宋"/>
          <w:bCs/>
          <w:sz w:val="32"/>
          <w:szCs w:val="32"/>
        </w:rPr>
        <w:t>环境。3、办公费用保证了单位的正常运转。4、“三公”经费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严格按照中央和省政府关于党政机关厉行节约反对浪费的规定执行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266A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（三）社会公众（服务对象）对本单位工作越来越满意，表现在：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认真学贯</w:t>
      </w:r>
      <w:r>
        <w:rPr>
          <w:rFonts w:hint="eastAsia" w:ascii="仿宋" w:hAnsi="仿宋" w:eastAsia="仿宋" w:cs="仿宋"/>
          <w:sz w:val="32"/>
          <w:szCs w:val="32"/>
        </w:rPr>
        <w:t>习近平新时代中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特色社会主义思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想</w:t>
      </w:r>
      <w:r>
        <w:rPr>
          <w:rFonts w:hint="eastAsia" w:ascii="仿宋" w:hAnsi="仿宋" w:eastAsia="仿宋" w:cs="仿宋"/>
          <w:sz w:val="32"/>
          <w:szCs w:val="32"/>
        </w:rPr>
        <w:t>主题教育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思想，</w:t>
      </w:r>
      <w:r>
        <w:rPr>
          <w:rFonts w:hint="eastAsia" w:ascii="仿宋" w:hAnsi="仿宋" w:eastAsia="仿宋" w:cs="仿宋"/>
          <w:sz w:val="32"/>
          <w:szCs w:val="32"/>
        </w:rPr>
        <w:t>紧紧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抓好</w:t>
      </w:r>
      <w:r>
        <w:rPr>
          <w:rFonts w:hint="eastAsia" w:ascii="仿宋" w:hAnsi="仿宋" w:eastAsia="仿宋" w:cs="仿宋"/>
          <w:sz w:val="32"/>
          <w:szCs w:val="32"/>
        </w:rPr>
        <w:t>护航生态文明建设主线，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扎实推进森林公安工作，依法打击破坏生态环境和生物安全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违法犯罪，确保了我县林区社会治安稳定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生态安全。</w:t>
      </w:r>
    </w:p>
    <w:p w14:paraId="2397EA8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本年度整体支出绩效评价得分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分。</w:t>
      </w:r>
    </w:p>
    <w:p w14:paraId="60F865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14E69D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1、预算不够明确和细化，预算编制的合理性不够。预算执行力的力度须加强。</w:t>
      </w:r>
    </w:p>
    <w:p w14:paraId="5837B27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预算编制的预测性不强，针对性研究不多，预算和实际支出调整较大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78C7445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3、财务管理水平有待提高，在精度和深度上加强，项目建设上加大管理力度。</w:t>
      </w:r>
    </w:p>
    <w:p w14:paraId="25AC574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内部管理制度设计欠科学，管理粗糙落实不完全到位。</w:t>
      </w:r>
    </w:p>
    <w:p w14:paraId="0D5A3066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310EB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细化预算编制工作，将进一步重视预算的编制工作，加强单位内部机构的预算管理意识，科学规划预算编制的精确度，提高财政资金使用效率，加强内部预算编制的审核和预算控制指标的下达，尽量减少预算资金的调整、结转和结余的情形。</w:t>
      </w:r>
    </w:p>
    <w:p w14:paraId="1EF8D3F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、建议财政部门加强对各单位财务人员队伍建设的重视，加强对财务人员做好各项财务工作的指导和培训，尤其是加强新《预算法》、《行政单位会计制度》等学习培训，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 w14:paraId="0E1FDC3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3、进一步完善和落实相关管理制度，全局上下应加强学习内部控制管理制度，严格遵照相关制度贯彻落实到位，做到精细化。</w:t>
      </w:r>
    </w:p>
    <w:p w14:paraId="083737A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4、加大对森林公安机关经费保障力度，</w:t>
      </w:r>
      <w:r>
        <w:rPr>
          <w:rFonts w:hint="eastAsia" w:ascii="仿宋" w:hAnsi="仿宋" w:eastAsia="仿宋" w:cs="仿宋"/>
          <w:sz w:val="32"/>
          <w:szCs w:val="32"/>
        </w:rPr>
        <w:t>森林公安转移支付资金相较于行政公安和交警太低，明显不能保障正常的办案需要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。我单位车辆严重老化，且不能满足一个办案单位一台车，工作带来了巨大隐患的同时也造成我单位无力承担公车开支的结果。</w:t>
      </w:r>
    </w:p>
    <w:p w14:paraId="72B9DB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469157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</w:p>
    <w:p w14:paraId="04437C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FDCAD"/>
    <w:multiLevelType w:val="singleLevel"/>
    <w:tmpl w:val="AC8FDC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837EB6"/>
    <w:multiLevelType w:val="singleLevel"/>
    <w:tmpl w:val="B0837EB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BC601F"/>
    <w:multiLevelType w:val="singleLevel"/>
    <w:tmpl w:val="5BBC601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jlhODdkOWMzYjhlNjJiY2U3NWIyZjgwZGFmZjEifQ=="/>
    <w:docVar w:name="KSO_WPS_MARK_KEY" w:val="2cad2da4-8c74-4208-b950-09c4ddb6f378"/>
  </w:docVars>
  <w:rsids>
    <w:rsidRoot w:val="00000000"/>
    <w:rsid w:val="02DF4E5B"/>
    <w:rsid w:val="05E6112B"/>
    <w:rsid w:val="1EA33F65"/>
    <w:rsid w:val="269E5DD8"/>
    <w:rsid w:val="3F052F63"/>
    <w:rsid w:val="3FCE31EA"/>
    <w:rsid w:val="4B72396B"/>
    <w:rsid w:val="647925F8"/>
    <w:rsid w:val="6C052FCB"/>
    <w:rsid w:val="7074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libri Light" w:hAnsi="Calibri Light" w:eastAsia="宋体" w:cs="Times New Roman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2414</Words>
  <Characters>2577</Characters>
  <Lines>0</Lines>
  <Paragraphs>0</Paragraphs>
  <TotalTime>4</TotalTime>
  <ScaleCrop>false</ScaleCrop>
  <LinksUpToDate>false</LinksUpToDate>
  <CharactersWithSpaces>2595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[胜利]</cp:lastModifiedBy>
  <cp:lastPrinted>2024-06-04T00:51:00Z</cp:lastPrinted>
  <dcterms:modified xsi:type="dcterms:W3CDTF">2025-10-21T03:34:34Z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AC9D0676ED534E799D75BF99BAC346EC_13</vt:lpwstr>
  </property>
</Properties>
</file>