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E6" w:rsidRDefault="000719E0" w:rsidP="000719E0">
      <w:pPr>
        <w:jc w:val="center"/>
      </w:pPr>
      <w:r>
        <w:rPr>
          <w:noProof/>
        </w:rPr>
        <w:drawing>
          <wp:inline distT="0" distB="0" distL="0" distR="0">
            <wp:extent cx="5781141" cy="8134350"/>
            <wp:effectExtent l="19050" t="0" r="0" b="0"/>
            <wp:docPr id="1" name="图片 0" descr="2024年绩效自评封面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年绩效自评封面 001.jpg"/>
                    <pic:cNvPicPr/>
                  </pic:nvPicPr>
                  <pic:blipFill>
                    <a:blip r:embed="rId7" cstate="print"/>
                    <a:stretch>
                      <a:fillRect/>
                    </a:stretch>
                  </pic:blipFill>
                  <pic:spPr>
                    <a:xfrm rot="10800000">
                      <a:off x="0" y="0"/>
                      <a:ext cx="5780682" cy="8133704"/>
                    </a:xfrm>
                    <a:prstGeom prst="rect">
                      <a:avLst/>
                    </a:prstGeom>
                  </pic:spPr>
                </pic:pic>
              </a:graphicData>
            </a:graphic>
          </wp:inline>
        </w:drawing>
      </w:r>
    </w:p>
    <w:p w:rsidR="00EF5BE6" w:rsidRDefault="00EF5BE6">
      <w:pPr>
        <w:pStyle w:val="a4"/>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p>
    <w:p w:rsidR="000719E0" w:rsidRDefault="00357CEE">
      <w:pPr>
        <w:pStyle w:val="a4"/>
        <w:widowControl/>
        <w:shd w:val="clear" w:color="auto" w:fill="FFFFFF"/>
        <w:snapToGrid w:val="0"/>
        <w:spacing w:beforeAutospacing="0" w:afterAutospacing="0" w:line="520" w:lineRule="exact"/>
        <w:jc w:val="center"/>
        <w:rPr>
          <w:rFonts w:ascii="方正小标宋_GBK" w:eastAsia="方正小标宋_GBK" w:hAnsi="方正小标宋_GBK" w:cs="方正小标宋_GBK" w:hint="eastAsia"/>
          <w:color w:val="000000"/>
          <w:sz w:val="44"/>
          <w:szCs w:val="44"/>
          <w:shd w:val="clear" w:color="auto" w:fill="FFFFFF"/>
        </w:rPr>
      </w:pPr>
      <w:r>
        <w:rPr>
          <w:rFonts w:ascii="方正小标宋_GBK" w:eastAsia="方正小标宋_GBK" w:hAnsi="方正小标宋_GBK" w:cs="方正小标宋_GBK" w:hint="eastAsia"/>
          <w:color w:val="000000"/>
          <w:sz w:val="44"/>
          <w:szCs w:val="44"/>
          <w:shd w:val="clear" w:color="auto" w:fill="FFFFFF"/>
        </w:rPr>
        <w:lastRenderedPageBreak/>
        <w:t>2024年度西岩镇人民政府整体支出</w:t>
      </w:r>
    </w:p>
    <w:p w:rsidR="00EF5BE6" w:rsidRPr="000719E0" w:rsidRDefault="00357CEE" w:rsidP="000719E0">
      <w:pPr>
        <w:pStyle w:val="a4"/>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 w:val="44"/>
          <w:szCs w:val="44"/>
          <w:shd w:val="clear" w:color="auto" w:fill="FFFFFF"/>
        </w:rPr>
      </w:pPr>
      <w:r>
        <w:rPr>
          <w:rFonts w:ascii="方正小标宋_GBK" w:eastAsia="方正小标宋_GBK" w:hAnsi="方正小标宋_GBK" w:cs="方正小标宋_GBK" w:hint="eastAsia"/>
          <w:color w:val="000000"/>
          <w:sz w:val="44"/>
          <w:szCs w:val="44"/>
          <w:shd w:val="clear" w:color="auto" w:fill="FFFFFF"/>
        </w:rPr>
        <w:t>绩效自评报告</w:t>
      </w:r>
    </w:p>
    <w:p w:rsidR="00EF5BE6" w:rsidRDefault="00EF5BE6">
      <w:pPr>
        <w:pStyle w:val="a4"/>
        <w:widowControl/>
        <w:shd w:val="clear" w:color="auto" w:fill="FFFFFF"/>
        <w:snapToGrid w:val="0"/>
        <w:spacing w:beforeAutospacing="0" w:afterAutospacing="0" w:line="520" w:lineRule="exact"/>
        <w:jc w:val="center"/>
        <w:rPr>
          <w:rFonts w:ascii="仿宋_GB2312" w:cs="仿宋_GB2312"/>
          <w:color w:val="000000"/>
          <w:szCs w:val="24"/>
        </w:rPr>
      </w:pPr>
    </w:p>
    <w:p w:rsidR="00EF5BE6" w:rsidRDefault="00357CEE">
      <w:pPr>
        <w:pStyle w:val="a4"/>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一、部门、单位基本情况</w:t>
      </w:r>
    </w:p>
    <w:p w:rsidR="00EF5BE6" w:rsidRDefault="00357CEE">
      <w:pPr>
        <w:pStyle w:val="a4"/>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rsidR="00EF5BE6" w:rsidRDefault="00357CEE">
      <w:pPr>
        <w:pStyle w:val="a4"/>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shd w:val="clear" w:color="auto" w:fill="FFFFFF"/>
        </w:rPr>
      </w:pPr>
      <w:r>
        <w:rPr>
          <w:rFonts w:hint="eastAsia"/>
          <w:color w:val="000000"/>
          <w:sz w:val="32"/>
          <w:szCs w:val="32"/>
        </w:rPr>
        <w:t>机构设置：西岩镇是一个行政机关单位。根据编委核定，我镇内设</w:t>
      </w:r>
      <w:r>
        <w:rPr>
          <w:rFonts w:hint="eastAsia"/>
          <w:color w:val="000000"/>
          <w:sz w:val="32"/>
          <w:szCs w:val="32"/>
        </w:rPr>
        <w:t>7</w:t>
      </w:r>
      <w:r>
        <w:rPr>
          <w:rFonts w:hint="eastAsia"/>
          <w:color w:val="000000"/>
          <w:sz w:val="32"/>
          <w:szCs w:val="32"/>
        </w:rPr>
        <w:t>个部门站所，内设部门站所分别是</w:t>
      </w:r>
      <w:r>
        <w:rPr>
          <w:rFonts w:hint="eastAsia"/>
          <w:color w:val="000000"/>
          <w:sz w:val="32"/>
          <w:szCs w:val="32"/>
        </w:rPr>
        <w:t>1</w:t>
      </w:r>
      <w:r>
        <w:rPr>
          <w:rFonts w:hint="eastAsia"/>
          <w:color w:val="000000"/>
          <w:sz w:val="32"/>
          <w:szCs w:val="32"/>
        </w:rPr>
        <w:t>、行政部门；</w:t>
      </w:r>
      <w:r>
        <w:rPr>
          <w:rFonts w:hint="eastAsia"/>
          <w:color w:val="000000"/>
          <w:sz w:val="32"/>
          <w:szCs w:val="32"/>
        </w:rPr>
        <w:t>2</w:t>
      </w:r>
      <w:r>
        <w:rPr>
          <w:rFonts w:hint="eastAsia"/>
          <w:color w:val="000000"/>
          <w:sz w:val="32"/>
          <w:szCs w:val="32"/>
        </w:rPr>
        <w:t>、财政所；</w:t>
      </w:r>
      <w:r>
        <w:rPr>
          <w:rFonts w:hint="eastAsia"/>
          <w:color w:val="000000"/>
          <w:sz w:val="32"/>
          <w:szCs w:val="32"/>
        </w:rPr>
        <w:t>3</w:t>
      </w:r>
      <w:r>
        <w:rPr>
          <w:rFonts w:hint="eastAsia"/>
          <w:color w:val="000000"/>
          <w:sz w:val="32"/>
          <w:szCs w:val="32"/>
        </w:rPr>
        <w:t>、退役军人服务站；</w:t>
      </w:r>
      <w:r>
        <w:rPr>
          <w:rFonts w:hint="eastAsia"/>
          <w:color w:val="000000"/>
          <w:sz w:val="32"/>
          <w:szCs w:val="32"/>
        </w:rPr>
        <w:t>4</w:t>
      </w:r>
      <w:r>
        <w:rPr>
          <w:rFonts w:hint="eastAsia"/>
          <w:color w:val="000000"/>
          <w:sz w:val="32"/>
          <w:szCs w:val="32"/>
        </w:rPr>
        <w:t>、社会事务综合服务中心；</w:t>
      </w:r>
      <w:r>
        <w:rPr>
          <w:rFonts w:hint="eastAsia"/>
          <w:color w:val="000000"/>
          <w:sz w:val="32"/>
          <w:szCs w:val="32"/>
        </w:rPr>
        <w:t>5</w:t>
      </w:r>
      <w:r>
        <w:rPr>
          <w:rFonts w:hint="eastAsia"/>
          <w:color w:val="000000"/>
          <w:sz w:val="32"/>
          <w:szCs w:val="32"/>
        </w:rPr>
        <w:t>、农业综合服务中心；</w:t>
      </w:r>
      <w:r>
        <w:rPr>
          <w:rFonts w:hint="eastAsia"/>
          <w:color w:val="000000"/>
          <w:sz w:val="32"/>
          <w:szCs w:val="32"/>
        </w:rPr>
        <w:t>6</w:t>
      </w:r>
      <w:r>
        <w:rPr>
          <w:rFonts w:hint="eastAsia"/>
          <w:color w:val="000000"/>
          <w:sz w:val="32"/>
          <w:szCs w:val="32"/>
        </w:rPr>
        <w:t>、政务便民服务中心；</w:t>
      </w:r>
      <w:r>
        <w:rPr>
          <w:rFonts w:hint="eastAsia"/>
          <w:color w:val="000000"/>
          <w:sz w:val="32"/>
          <w:szCs w:val="32"/>
        </w:rPr>
        <w:t>7</w:t>
      </w:r>
      <w:r>
        <w:rPr>
          <w:rFonts w:hint="eastAsia"/>
          <w:color w:val="000000"/>
          <w:sz w:val="32"/>
          <w:szCs w:val="32"/>
        </w:rPr>
        <w:t>、行政执法大队。</w:t>
      </w:r>
    </w:p>
    <w:p w:rsidR="00EF5BE6" w:rsidRDefault="00357CEE">
      <w:pPr>
        <w:pStyle w:val="a4"/>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（二）人员编制情况</w:t>
      </w:r>
    </w:p>
    <w:p w:rsidR="00EF5BE6" w:rsidRDefault="00357CEE">
      <w:pPr>
        <w:pStyle w:val="a4"/>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shd w:val="clear" w:color="auto" w:fill="FFFFFF"/>
        </w:rPr>
      </w:pPr>
      <w:r>
        <w:rPr>
          <w:rFonts w:hint="eastAsia"/>
          <w:color w:val="000000"/>
          <w:sz w:val="32"/>
          <w:szCs w:val="32"/>
        </w:rPr>
        <w:t>人员构成：西岩镇人民政府为一级预算单位，无下属独立预算机构。西岩镇人民政府实有人数</w:t>
      </w:r>
      <w:r>
        <w:rPr>
          <w:rFonts w:hint="eastAsia"/>
          <w:color w:val="000000"/>
          <w:sz w:val="32"/>
          <w:szCs w:val="32"/>
        </w:rPr>
        <w:t>11</w:t>
      </w:r>
      <w:r w:rsidR="00A26EF9">
        <w:rPr>
          <w:rFonts w:hint="eastAsia"/>
          <w:color w:val="000000"/>
          <w:sz w:val="32"/>
          <w:szCs w:val="32"/>
        </w:rPr>
        <w:t>6</w:t>
      </w:r>
      <w:r>
        <w:rPr>
          <w:rFonts w:hint="eastAsia"/>
          <w:color w:val="000000"/>
          <w:sz w:val="32"/>
          <w:szCs w:val="32"/>
        </w:rPr>
        <w:t>人；其中行政实有数</w:t>
      </w:r>
      <w:r>
        <w:rPr>
          <w:rFonts w:hint="eastAsia"/>
          <w:color w:val="000000"/>
          <w:sz w:val="32"/>
          <w:szCs w:val="32"/>
        </w:rPr>
        <w:t>54</w:t>
      </w:r>
      <w:r>
        <w:rPr>
          <w:rFonts w:hint="eastAsia"/>
          <w:color w:val="000000"/>
          <w:sz w:val="32"/>
          <w:szCs w:val="32"/>
        </w:rPr>
        <w:t>人；财政所实有数</w:t>
      </w:r>
      <w:r>
        <w:rPr>
          <w:rFonts w:hint="eastAsia"/>
          <w:color w:val="000000"/>
          <w:sz w:val="32"/>
          <w:szCs w:val="32"/>
        </w:rPr>
        <w:t>4</w:t>
      </w:r>
      <w:r>
        <w:rPr>
          <w:rFonts w:hint="eastAsia"/>
          <w:color w:val="000000"/>
          <w:sz w:val="32"/>
          <w:szCs w:val="32"/>
        </w:rPr>
        <w:t>人；退役军人事务站实有数</w:t>
      </w:r>
      <w:r>
        <w:rPr>
          <w:rFonts w:hint="eastAsia"/>
          <w:color w:val="000000"/>
          <w:sz w:val="32"/>
          <w:szCs w:val="32"/>
        </w:rPr>
        <w:t>3</w:t>
      </w:r>
      <w:r>
        <w:rPr>
          <w:rFonts w:hint="eastAsia"/>
          <w:color w:val="000000"/>
          <w:sz w:val="32"/>
          <w:szCs w:val="32"/>
        </w:rPr>
        <w:t>人；政务（便民）服务中心实有数</w:t>
      </w:r>
      <w:r>
        <w:rPr>
          <w:rFonts w:hint="eastAsia"/>
          <w:color w:val="000000"/>
          <w:sz w:val="32"/>
          <w:szCs w:val="32"/>
        </w:rPr>
        <w:t>2</w:t>
      </w:r>
      <w:r>
        <w:rPr>
          <w:rFonts w:hint="eastAsia"/>
          <w:color w:val="000000"/>
          <w:sz w:val="32"/>
          <w:szCs w:val="32"/>
        </w:rPr>
        <w:t>人；农业综合服务中心实有数</w:t>
      </w:r>
      <w:r>
        <w:rPr>
          <w:rFonts w:hint="eastAsia"/>
          <w:color w:val="000000"/>
          <w:sz w:val="32"/>
          <w:szCs w:val="32"/>
        </w:rPr>
        <w:t>3</w:t>
      </w:r>
      <w:r w:rsidR="00A26EF9">
        <w:rPr>
          <w:rFonts w:hint="eastAsia"/>
          <w:color w:val="000000"/>
          <w:sz w:val="32"/>
          <w:szCs w:val="32"/>
        </w:rPr>
        <w:t>8</w:t>
      </w:r>
      <w:r>
        <w:rPr>
          <w:rFonts w:hint="eastAsia"/>
          <w:color w:val="000000"/>
          <w:sz w:val="32"/>
          <w:szCs w:val="32"/>
        </w:rPr>
        <w:t>人；社会事务综合服务中心实有数</w:t>
      </w:r>
      <w:r>
        <w:rPr>
          <w:rFonts w:hint="eastAsia"/>
          <w:color w:val="000000"/>
          <w:sz w:val="32"/>
          <w:szCs w:val="32"/>
        </w:rPr>
        <w:t>8</w:t>
      </w:r>
      <w:r>
        <w:rPr>
          <w:rFonts w:hint="eastAsia"/>
          <w:color w:val="000000"/>
          <w:sz w:val="32"/>
          <w:szCs w:val="32"/>
        </w:rPr>
        <w:t>人。综合执法大队实有数</w:t>
      </w:r>
      <w:r>
        <w:rPr>
          <w:rFonts w:hint="eastAsia"/>
          <w:color w:val="000000"/>
          <w:sz w:val="32"/>
          <w:szCs w:val="32"/>
        </w:rPr>
        <w:t>7</w:t>
      </w:r>
      <w:r>
        <w:rPr>
          <w:rFonts w:hint="eastAsia"/>
          <w:color w:val="000000"/>
          <w:sz w:val="32"/>
          <w:szCs w:val="32"/>
        </w:rPr>
        <w:t>人。</w:t>
      </w:r>
    </w:p>
    <w:p w:rsidR="00EF5BE6" w:rsidRDefault="00357CEE">
      <w:pPr>
        <w:pStyle w:val="a4"/>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p>
    <w:p w:rsidR="00EF5BE6" w:rsidRDefault="00357CEE">
      <w:pPr>
        <w:pStyle w:val="a4"/>
        <w:widowControl/>
        <w:shd w:val="clear" w:color="auto" w:fill="FFFFFF"/>
        <w:snapToGrid w:val="0"/>
        <w:spacing w:beforeAutospacing="0" w:afterAutospacing="0" w:line="520" w:lineRule="exact"/>
        <w:ind w:firstLineChars="200" w:firstLine="640"/>
        <w:rPr>
          <w:rFonts w:ascii="楷体_GB2312" w:cs="楷体_GB2312"/>
          <w:color w:val="000000"/>
          <w:sz w:val="32"/>
          <w:szCs w:val="32"/>
          <w:shd w:val="clear" w:color="auto" w:fill="FFFFFF"/>
        </w:rPr>
      </w:pPr>
      <w:r>
        <w:rPr>
          <w:rFonts w:hint="eastAsia"/>
          <w:color w:val="000000"/>
          <w:sz w:val="32"/>
          <w:szCs w:val="32"/>
        </w:rPr>
        <w:t>拟定发展战略，执行全镇的社会发展计划、预算，维护社会秩序，促进区域协调发展。</w:t>
      </w:r>
    </w:p>
    <w:p w:rsidR="00EF5BE6" w:rsidRDefault="00357CEE">
      <w:pPr>
        <w:pStyle w:val="a4"/>
        <w:widowControl/>
        <w:numPr>
          <w:ilvl w:val="0"/>
          <w:numId w:val="1"/>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绩效目标设定情况</w:t>
      </w:r>
    </w:p>
    <w:p w:rsidR="00EF5BE6" w:rsidRDefault="00357CEE">
      <w:pPr>
        <w:pStyle w:val="a4"/>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rPr>
      </w:pPr>
      <w:r>
        <w:rPr>
          <w:rFonts w:hint="eastAsia"/>
          <w:color w:val="000000"/>
          <w:sz w:val="32"/>
          <w:szCs w:val="32"/>
        </w:rPr>
        <w:t>年初绩效目标：根据省、市、</w:t>
      </w:r>
      <w:proofErr w:type="gramStart"/>
      <w:r>
        <w:rPr>
          <w:rFonts w:hint="eastAsia"/>
          <w:color w:val="000000"/>
          <w:sz w:val="32"/>
          <w:szCs w:val="32"/>
        </w:rPr>
        <w:t>县相关</w:t>
      </w:r>
      <w:proofErr w:type="gramEnd"/>
      <w:r>
        <w:rPr>
          <w:rFonts w:hint="eastAsia"/>
          <w:color w:val="000000"/>
          <w:sz w:val="32"/>
          <w:szCs w:val="32"/>
        </w:rPr>
        <w:t>目标及本部门的整体绩效目标特制订符合政策法规和本单位实际情况</w:t>
      </w:r>
      <w:r>
        <w:rPr>
          <w:rFonts w:hint="eastAsia"/>
          <w:color w:val="000000"/>
          <w:sz w:val="32"/>
          <w:szCs w:val="32"/>
        </w:rPr>
        <w:t>:</w:t>
      </w:r>
      <w:r>
        <w:rPr>
          <w:rFonts w:hint="eastAsia"/>
          <w:color w:val="000000"/>
          <w:sz w:val="32"/>
          <w:szCs w:val="32"/>
        </w:rPr>
        <w:t>①经济发展与重点工程；②深化改革与依法治镇；③社会治理与民生保障；④文化建设与生态保护；⑤从严治党与机关管理；⑥公众评估与内部评估。在完成部门职能目标中合理分配人、财、物，使之达到较高的工作效率和水平。</w:t>
      </w:r>
    </w:p>
    <w:p w:rsidR="00EF5BE6" w:rsidRDefault="00357CEE">
      <w:pPr>
        <w:snapToGrid w:val="0"/>
        <w:spacing w:line="520" w:lineRule="exact"/>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二、部门整体支出管理及使用情况</w:t>
      </w:r>
    </w:p>
    <w:p w:rsidR="00EF5BE6" w:rsidRDefault="00357CEE">
      <w:pPr>
        <w:pStyle w:val="1"/>
        <w:widowControl/>
        <w:spacing w:line="600" w:lineRule="exact"/>
        <w:ind w:left="640" w:firstLineChars="0" w:firstLine="0"/>
        <w:rPr>
          <w:rFonts w:eastAsia="楷体_GB2312"/>
          <w:sz w:val="32"/>
          <w:szCs w:val="32"/>
        </w:rPr>
      </w:pPr>
      <w:r>
        <w:rPr>
          <w:rFonts w:eastAsia="楷体_GB2312"/>
          <w:sz w:val="32"/>
          <w:szCs w:val="32"/>
        </w:rPr>
        <w:lastRenderedPageBreak/>
        <w:t>（一）</w:t>
      </w:r>
      <w:r>
        <w:rPr>
          <w:rFonts w:eastAsia="楷体_GB2312" w:hint="eastAsia"/>
          <w:sz w:val="32"/>
          <w:szCs w:val="32"/>
        </w:rPr>
        <w:t>部门</w:t>
      </w:r>
      <w:r>
        <w:rPr>
          <w:rFonts w:eastAsia="楷体_GB2312"/>
          <w:sz w:val="32"/>
          <w:szCs w:val="32"/>
        </w:rPr>
        <w:t>预决算情况</w:t>
      </w:r>
    </w:p>
    <w:p w:rsidR="00EF5BE6" w:rsidRDefault="00357CEE">
      <w:pPr>
        <w:spacing w:line="600" w:lineRule="exact"/>
        <w:ind w:firstLineChars="200" w:firstLine="640"/>
        <w:rPr>
          <w:sz w:val="32"/>
          <w:szCs w:val="32"/>
        </w:rPr>
      </w:pPr>
      <w:r>
        <w:rPr>
          <w:sz w:val="32"/>
          <w:szCs w:val="32"/>
        </w:rPr>
        <w:t>1.</w:t>
      </w:r>
      <w:r>
        <w:rPr>
          <w:sz w:val="32"/>
          <w:szCs w:val="32"/>
        </w:rPr>
        <w:t>部门预算情况</w:t>
      </w:r>
    </w:p>
    <w:p w:rsidR="00EF5BE6" w:rsidRDefault="00357CEE">
      <w:pPr>
        <w:spacing w:line="600" w:lineRule="exact"/>
        <w:ind w:firstLineChars="200" w:firstLine="640"/>
        <w:rPr>
          <w:sz w:val="32"/>
          <w:szCs w:val="32"/>
        </w:rPr>
      </w:pPr>
      <w:r>
        <w:rPr>
          <w:sz w:val="32"/>
          <w:szCs w:val="32"/>
        </w:rPr>
        <w:t>202</w:t>
      </w:r>
      <w:r>
        <w:rPr>
          <w:rFonts w:hint="eastAsia"/>
          <w:sz w:val="32"/>
          <w:szCs w:val="32"/>
        </w:rPr>
        <w:t>4</w:t>
      </w:r>
      <w:r>
        <w:rPr>
          <w:sz w:val="32"/>
          <w:szCs w:val="32"/>
        </w:rPr>
        <w:t>年年初预算安排收入</w:t>
      </w:r>
      <w:r>
        <w:rPr>
          <w:rFonts w:hint="eastAsia"/>
          <w:sz w:val="32"/>
          <w:szCs w:val="32"/>
        </w:rPr>
        <w:t>1665.41</w:t>
      </w:r>
      <w:r>
        <w:rPr>
          <w:sz w:val="32"/>
          <w:szCs w:val="32"/>
        </w:rPr>
        <w:t>万元，其中一般公共财政拨款</w:t>
      </w:r>
      <w:r>
        <w:rPr>
          <w:rFonts w:hint="eastAsia"/>
          <w:sz w:val="32"/>
          <w:szCs w:val="32"/>
        </w:rPr>
        <w:t>1665.41</w:t>
      </w:r>
      <w:r>
        <w:rPr>
          <w:sz w:val="32"/>
          <w:szCs w:val="32"/>
        </w:rPr>
        <w:t>万元</w:t>
      </w:r>
      <w:r>
        <w:rPr>
          <w:rFonts w:hint="eastAsia"/>
          <w:sz w:val="32"/>
          <w:szCs w:val="32"/>
        </w:rPr>
        <w:t>，</w:t>
      </w:r>
      <w:r>
        <w:rPr>
          <w:rFonts w:ascii="仿宋" w:eastAsia="仿宋" w:hAnsi="仿宋" w:cs="仿宋"/>
          <w:color w:val="000000"/>
          <w:kern w:val="0"/>
          <w:sz w:val="31"/>
          <w:szCs w:val="31"/>
        </w:rPr>
        <w:t xml:space="preserve">政府性基金预算拨款 </w:t>
      </w:r>
      <w:r>
        <w:rPr>
          <w:rFonts w:ascii="仿宋" w:eastAsia="仿宋" w:hAnsi="仿宋" w:cs="仿宋" w:hint="eastAsia"/>
          <w:color w:val="000000"/>
          <w:kern w:val="0"/>
          <w:sz w:val="31"/>
          <w:szCs w:val="31"/>
        </w:rPr>
        <w:t>0.00 万元</w:t>
      </w:r>
      <w:r>
        <w:rPr>
          <w:sz w:val="32"/>
          <w:szCs w:val="32"/>
        </w:rPr>
        <w:t>；</w:t>
      </w:r>
      <w:r>
        <w:rPr>
          <w:sz w:val="32"/>
          <w:szCs w:val="32"/>
        </w:rPr>
        <w:t>202</w:t>
      </w:r>
      <w:r>
        <w:rPr>
          <w:rFonts w:hint="eastAsia"/>
          <w:sz w:val="32"/>
          <w:szCs w:val="32"/>
        </w:rPr>
        <w:t>4</w:t>
      </w:r>
      <w:r>
        <w:rPr>
          <w:sz w:val="32"/>
          <w:szCs w:val="32"/>
        </w:rPr>
        <w:t>年年初预算安排支出</w:t>
      </w:r>
      <w:r>
        <w:rPr>
          <w:rFonts w:hint="eastAsia"/>
          <w:sz w:val="32"/>
          <w:szCs w:val="32"/>
        </w:rPr>
        <w:t>1665.41</w:t>
      </w:r>
      <w:r>
        <w:rPr>
          <w:sz w:val="32"/>
          <w:szCs w:val="32"/>
        </w:rPr>
        <w:t>万元</w:t>
      </w:r>
      <w:r>
        <w:rPr>
          <w:rFonts w:hint="eastAsia"/>
          <w:sz w:val="32"/>
          <w:szCs w:val="32"/>
        </w:rPr>
        <w:t>，</w:t>
      </w:r>
      <w:r>
        <w:rPr>
          <w:sz w:val="32"/>
          <w:szCs w:val="32"/>
        </w:rPr>
        <w:t>其中：基本支出</w:t>
      </w:r>
      <w:r>
        <w:rPr>
          <w:rFonts w:hint="eastAsia"/>
          <w:sz w:val="32"/>
          <w:szCs w:val="32"/>
        </w:rPr>
        <w:t>1599.85</w:t>
      </w:r>
      <w:r>
        <w:rPr>
          <w:sz w:val="32"/>
          <w:szCs w:val="32"/>
        </w:rPr>
        <w:t>万元，项目支出</w:t>
      </w:r>
      <w:r>
        <w:rPr>
          <w:rFonts w:hint="eastAsia"/>
          <w:sz w:val="32"/>
          <w:szCs w:val="32"/>
        </w:rPr>
        <w:t>65.55</w:t>
      </w:r>
      <w:r>
        <w:rPr>
          <w:sz w:val="32"/>
          <w:szCs w:val="32"/>
        </w:rPr>
        <w:t>万元。</w:t>
      </w:r>
    </w:p>
    <w:p w:rsidR="00EF5BE6" w:rsidRDefault="00357CEE">
      <w:pPr>
        <w:spacing w:line="600" w:lineRule="exact"/>
        <w:ind w:firstLineChars="200" w:firstLine="640"/>
        <w:rPr>
          <w:sz w:val="32"/>
          <w:szCs w:val="32"/>
        </w:rPr>
      </w:pPr>
      <w:r>
        <w:rPr>
          <w:sz w:val="32"/>
          <w:szCs w:val="32"/>
        </w:rPr>
        <w:t>2.</w:t>
      </w:r>
      <w:r>
        <w:rPr>
          <w:sz w:val="32"/>
          <w:szCs w:val="32"/>
        </w:rPr>
        <w:t>部门决算情况（</w:t>
      </w:r>
      <w:proofErr w:type="gramStart"/>
      <w:r>
        <w:rPr>
          <w:sz w:val="32"/>
          <w:szCs w:val="32"/>
        </w:rPr>
        <w:t>含年中</w:t>
      </w:r>
      <w:proofErr w:type="gramEnd"/>
      <w:r>
        <w:rPr>
          <w:sz w:val="32"/>
          <w:szCs w:val="32"/>
        </w:rPr>
        <w:t>预算追加情况）</w:t>
      </w:r>
    </w:p>
    <w:p w:rsidR="00EF5BE6" w:rsidRDefault="00357CEE">
      <w:pPr>
        <w:spacing w:line="600" w:lineRule="exact"/>
        <w:ind w:firstLineChars="200" w:firstLine="640"/>
        <w:rPr>
          <w:sz w:val="32"/>
          <w:szCs w:val="32"/>
        </w:rPr>
      </w:pPr>
      <w:r>
        <w:rPr>
          <w:rFonts w:hint="eastAsia"/>
          <w:sz w:val="32"/>
          <w:szCs w:val="32"/>
        </w:rPr>
        <w:t>2024</w:t>
      </w:r>
      <w:r>
        <w:rPr>
          <w:sz w:val="32"/>
          <w:szCs w:val="32"/>
        </w:rPr>
        <w:t>年决算总收入</w:t>
      </w:r>
      <w:r>
        <w:rPr>
          <w:rFonts w:hint="eastAsia"/>
          <w:sz w:val="32"/>
          <w:szCs w:val="32"/>
        </w:rPr>
        <w:t>3762.01</w:t>
      </w:r>
      <w:r>
        <w:rPr>
          <w:sz w:val="32"/>
          <w:szCs w:val="32"/>
        </w:rPr>
        <w:t>万元，</w:t>
      </w:r>
      <w:proofErr w:type="gramStart"/>
      <w:r>
        <w:rPr>
          <w:sz w:val="32"/>
          <w:szCs w:val="32"/>
        </w:rPr>
        <w:t>较预算</w:t>
      </w:r>
      <w:proofErr w:type="gramEnd"/>
      <w:r>
        <w:rPr>
          <w:sz w:val="32"/>
          <w:szCs w:val="32"/>
        </w:rPr>
        <w:t>增加</w:t>
      </w:r>
      <w:r>
        <w:rPr>
          <w:rFonts w:hint="eastAsia"/>
          <w:sz w:val="32"/>
          <w:szCs w:val="32"/>
        </w:rPr>
        <w:t>2096.6</w:t>
      </w:r>
      <w:r>
        <w:rPr>
          <w:sz w:val="32"/>
          <w:szCs w:val="32"/>
        </w:rPr>
        <w:t>万元，总支出</w:t>
      </w:r>
      <w:r>
        <w:rPr>
          <w:rFonts w:hint="eastAsia"/>
          <w:sz w:val="32"/>
          <w:szCs w:val="32"/>
        </w:rPr>
        <w:t>3762.01</w:t>
      </w:r>
      <w:r>
        <w:rPr>
          <w:sz w:val="32"/>
          <w:szCs w:val="32"/>
        </w:rPr>
        <w:t>万元，其中：基本支出</w:t>
      </w:r>
      <w:r w:rsidR="004D7529">
        <w:rPr>
          <w:rFonts w:hint="eastAsia"/>
          <w:sz w:val="32"/>
          <w:szCs w:val="32"/>
        </w:rPr>
        <w:t>3675.65</w:t>
      </w:r>
      <w:r>
        <w:rPr>
          <w:sz w:val="32"/>
          <w:szCs w:val="32"/>
        </w:rPr>
        <w:t>万元，占总支出的</w:t>
      </w:r>
      <w:r w:rsidR="00D85ECC">
        <w:rPr>
          <w:rFonts w:hint="eastAsia"/>
          <w:sz w:val="32"/>
          <w:szCs w:val="32"/>
        </w:rPr>
        <w:t>97.7</w:t>
      </w:r>
      <w:r>
        <w:rPr>
          <w:sz w:val="32"/>
          <w:szCs w:val="32"/>
        </w:rPr>
        <w:t>％；项目支出</w:t>
      </w:r>
      <w:r w:rsidR="004D7529">
        <w:rPr>
          <w:rFonts w:hint="eastAsia"/>
          <w:sz w:val="32"/>
          <w:szCs w:val="32"/>
        </w:rPr>
        <w:t>86.36</w:t>
      </w:r>
      <w:r>
        <w:rPr>
          <w:sz w:val="32"/>
          <w:szCs w:val="32"/>
        </w:rPr>
        <w:t>万元，占总支出的</w:t>
      </w:r>
      <w:r w:rsidR="00D85ECC">
        <w:rPr>
          <w:rFonts w:hint="eastAsia"/>
          <w:sz w:val="32"/>
          <w:szCs w:val="32"/>
        </w:rPr>
        <w:t>2.3</w:t>
      </w:r>
      <w:r>
        <w:rPr>
          <w:sz w:val="32"/>
          <w:szCs w:val="32"/>
        </w:rPr>
        <w:t>％。差异产生的主要原因是</w:t>
      </w:r>
      <w:r w:rsidR="004D7529">
        <w:rPr>
          <w:rFonts w:hint="eastAsia"/>
          <w:sz w:val="32"/>
          <w:szCs w:val="32"/>
        </w:rPr>
        <w:t>上级部门对本单位进行预算调整</w:t>
      </w:r>
      <w:r>
        <w:rPr>
          <w:sz w:val="32"/>
          <w:szCs w:val="32"/>
        </w:rPr>
        <w:t>。</w:t>
      </w:r>
    </w:p>
    <w:p w:rsidR="00EF5BE6" w:rsidRDefault="00357CEE">
      <w:pPr>
        <w:spacing w:line="600" w:lineRule="exact"/>
        <w:ind w:firstLineChars="200" w:firstLine="640"/>
        <w:rPr>
          <w:rFonts w:eastAsia="楷体_GB2312"/>
          <w:sz w:val="32"/>
          <w:szCs w:val="32"/>
        </w:rPr>
      </w:pPr>
      <w:r>
        <w:rPr>
          <w:rFonts w:eastAsia="楷体_GB2312"/>
          <w:sz w:val="32"/>
          <w:szCs w:val="32"/>
        </w:rPr>
        <w:t>（二）部门预算执行情况</w:t>
      </w:r>
    </w:p>
    <w:p w:rsidR="00EF5BE6" w:rsidRDefault="00357CEE">
      <w:pPr>
        <w:spacing w:line="600" w:lineRule="exact"/>
        <w:ind w:firstLineChars="200" w:firstLine="640"/>
        <w:rPr>
          <w:sz w:val="32"/>
          <w:szCs w:val="32"/>
        </w:rPr>
      </w:pPr>
      <w:r>
        <w:rPr>
          <w:rFonts w:hint="eastAsia"/>
          <w:sz w:val="32"/>
          <w:szCs w:val="32"/>
        </w:rPr>
        <w:t>1</w:t>
      </w:r>
      <w:r>
        <w:rPr>
          <w:sz w:val="32"/>
          <w:szCs w:val="32"/>
        </w:rPr>
        <w:t>.“</w:t>
      </w:r>
      <w:r>
        <w:rPr>
          <w:sz w:val="32"/>
          <w:szCs w:val="32"/>
        </w:rPr>
        <w:t>三公</w:t>
      </w:r>
      <w:r>
        <w:rPr>
          <w:rFonts w:hint="eastAsia"/>
          <w:sz w:val="32"/>
          <w:szCs w:val="32"/>
        </w:rPr>
        <w:t>”</w:t>
      </w:r>
      <w:r>
        <w:rPr>
          <w:sz w:val="32"/>
          <w:szCs w:val="32"/>
        </w:rPr>
        <w:t>经费执行情况</w:t>
      </w:r>
    </w:p>
    <w:p w:rsidR="00EF5BE6" w:rsidRDefault="00357CEE">
      <w:pPr>
        <w:spacing w:line="600" w:lineRule="exact"/>
        <w:ind w:firstLineChars="200" w:firstLine="640"/>
        <w:rPr>
          <w:sz w:val="32"/>
          <w:szCs w:val="32"/>
        </w:rPr>
      </w:pPr>
      <w:r>
        <w:rPr>
          <w:rFonts w:hint="eastAsia"/>
          <w:sz w:val="32"/>
          <w:szCs w:val="32"/>
        </w:rPr>
        <w:t>2024</w:t>
      </w:r>
      <w:r>
        <w:rPr>
          <w:sz w:val="32"/>
          <w:szCs w:val="32"/>
        </w:rPr>
        <w:t>年</w:t>
      </w:r>
      <w:r>
        <w:rPr>
          <w:sz w:val="32"/>
          <w:szCs w:val="32"/>
        </w:rPr>
        <w:t>“</w:t>
      </w:r>
      <w:r>
        <w:rPr>
          <w:sz w:val="32"/>
          <w:szCs w:val="32"/>
        </w:rPr>
        <w:t>三公</w:t>
      </w:r>
      <w:r>
        <w:rPr>
          <w:rFonts w:hint="eastAsia"/>
          <w:sz w:val="32"/>
          <w:szCs w:val="32"/>
        </w:rPr>
        <w:t>”</w:t>
      </w:r>
      <w:r>
        <w:rPr>
          <w:sz w:val="32"/>
          <w:szCs w:val="32"/>
        </w:rPr>
        <w:t>经费预算数</w:t>
      </w:r>
      <w:r w:rsidR="00D85ECC">
        <w:rPr>
          <w:rFonts w:hint="eastAsia"/>
          <w:sz w:val="32"/>
          <w:szCs w:val="32"/>
        </w:rPr>
        <w:t>3.1</w:t>
      </w:r>
      <w:r>
        <w:rPr>
          <w:sz w:val="32"/>
          <w:szCs w:val="32"/>
        </w:rPr>
        <w:t>万元，其中：因公出国（境）费</w:t>
      </w:r>
      <w:r w:rsidR="00D85ECC">
        <w:rPr>
          <w:rFonts w:hint="eastAsia"/>
          <w:sz w:val="32"/>
          <w:szCs w:val="32"/>
        </w:rPr>
        <w:t>0</w:t>
      </w:r>
      <w:r>
        <w:rPr>
          <w:sz w:val="32"/>
          <w:szCs w:val="32"/>
        </w:rPr>
        <w:t>万元，公务用车购置及运行维护费</w:t>
      </w:r>
      <w:r w:rsidR="00D85ECC">
        <w:rPr>
          <w:rFonts w:hint="eastAsia"/>
          <w:sz w:val="32"/>
          <w:szCs w:val="32"/>
        </w:rPr>
        <w:t>1</w:t>
      </w:r>
      <w:r>
        <w:rPr>
          <w:sz w:val="32"/>
          <w:szCs w:val="32"/>
        </w:rPr>
        <w:t>万元，公务接待费</w:t>
      </w:r>
      <w:r w:rsidR="00D85ECC">
        <w:rPr>
          <w:rFonts w:hint="eastAsia"/>
          <w:sz w:val="32"/>
          <w:szCs w:val="32"/>
        </w:rPr>
        <w:t>2.1</w:t>
      </w:r>
      <w:r>
        <w:rPr>
          <w:sz w:val="32"/>
          <w:szCs w:val="32"/>
        </w:rPr>
        <w:t>万元。</w:t>
      </w:r>
      <w:r>
        <w:rPr>
          <w:sz w:val="32"/>
          <w:szCs w:val="32"/>
        </w:rPr>
        <w:t>“</w:t>
      </w:r>
      <w:r>
        <w:rPr>
          <w:sz w:val="32"/>
          <w:szCs w:val="32"/>
        </w:rPr>
        <w:t>三公</w:t>
      </w:r>
      <w:r>
        <w:rPr>
          <w:rFonts w:hint="eastAsia"/>
          <w:sz w:val="32"/>
          <w:szCs w:val="32"/>
        </w:rPr>
        <w:t>”</w:t>
      </w:r>
      <w:r>
        <w:rPr>
          <w:sz w:val="32"/>
          <w:szCs w:val="32"/>
        </w:rPr>
        <w:t>经费决算数</w:t>
      </w:r>
      <w:r w:rsidR="00D85ECC">
        <w:rPr>
          <w:rFonts w:hint="eastAsia"/>
          <w:sz w:val="32"/>
          <w:szCs w:val="32"/>
        </w:rPr>
        <w:t>3.1</w:t>
      </w:r>
      <w:r>
        <w:rPr>
          <w:sz w:val="32"/>
          <w:szCs w:val="32"/>
        </w:rPr>
        <w:t>元，其中：因公出国（境）费</w:t>
      </w:r>
      <w:r w:rsidR="00D85ECC">
        <w:rPr>
          <w:rFonts w:hint="eastAsia"/>
          <w:sz w:val="32"/>
          <w:szCs w:val="32"/>
        </w:rPr>
        <w:t>0</w:t>
      </w:r>
      <w:r>
        <w:rPr>
          <w:sz w:val="32"/>
          <w:szCs w:val="32"/>
        </w:rPr>
        <w:t>万元，公务用车运行维护费</w:t>
      </w:r>
      <w:r w:rsidR="00D85ECC">
        <w:rPr>
          <w:rFonts w:hint="eastAsia"/>
          <w:sz w:val="32"/>
          <w:szCs w:val="32"/>
        </w:rPr>
        <w:t>1</w:t>
      </w:r>
      <w:r>
        <w:rPr>
          <w:sz w:val="32"/>
          <w:szCs w:val="32"/>
        </w:rPr>
        <w:t>万元，公务接待费</w:t>
      </w:r>
      <w:r w:rsidR="00D85ECC">
        <w:rPr>
          <w:rFonts w:hint="eastAsia"/>
          <w:sz w:val="32"/>
          <w:szCs w:val="32"/>
        </w:rPr>
        <w:t>2.1</w:t>
      </w:r>
      <w:r>
        <w:rPr>
          <w:sz w:val="32"/>
          <w:szCs w:val="32"/>
        </w:rPr>
        <w:t>万元。</w:t>
      </w:r>
    </w:p>
    <w:p w:rsidR="00EF5BE6" w:rsidRDefault="00357CEE">
      <w:pPr>
        <w:spacing w:line="600" w:lineRule="exact"/>
        <w:ind w:firstLineChars="200" w:firstLine="640"/>
        <w:rPr>
          <w:sz w:val="32"/>
          <w:szCs w:val="32"/>
        </w:rPr>
      </w:pPr>
      <w:r>
        <w:rPr>
          <w:rFonts w:hint="eastAsia"/>
          <w:sz w:val="32"/>
          <w:szCs w:val="32"/>
        </w:rPr>
        <w:t>2</w:t>
      </w:r>
      <w:r>
        <w:rPr>
          <w:sz w:val="32"/>
          <w:szCs w:val="32"/>
        </w:rPr>
        <w:t>.</w:t>
      </w:r>
      <w:r>
        <w:rPr>
          <w:sz w:val="32"/>
          <w:szCs w:val="32"/>
        </w:rPr>
        <w:t>政府采购执行情况</w:t>
      </w:r>
    </w:p>
    <w:p w:rsidR="00EF5BE6" w:rsidRDefault="00357CEE">
      <w:pPr>
        <w:spacing w:line="600" w:lineRule="exact"/>
        <w:ind w:firstLineChars="200" w:firstLine="640"/>
        <w:rPr>
          <w:rFonts w:ascii="楷体_GB2312" w:eastAsia="楷体_GB2312" w:cs="楷体_GB2312"/>
          <w:color w:val="000000"/>
          <w:sz w:val="32"/>
          <w:szCs w:val="32"/>
        </w:rPr>
      </w:pPr>
      <w:r>
        <w:rPr>
          <w:rFonts w:hint="eastAsia"/>
          <w:sz w:val="32"/>
          <w:szCs w:val="32"/>
        </w:rPr>
        <w:t>2024</w:t>
      </w:r>
      <w:r>
        <w:rPr>
          <w:sz w:val="32"/>
          <w:szCs w:val="32"/>
        </w:rPr>
        <w:t>年度政府采购支出</w:t>
      </w:r>
      <w:r w:rsidR="00D85ECC">
        <w:rPr>
          <w:rFonts w:hint="eastAsia"/>
          <w:sz w:val="32"/>
          <w:szCs w:val="32"/>
        </w:rPr>
        <w:t>226.39</w:t>
      </w:r>
      <w:r>
        <w:rPr>
          <w:sz w:val="32"/>
          <w:szCs w:val="32"/>
        </w:rPr>
        <w:t>万元，其中：货物</w:t>
      </w:r>
      <w:r w:rsidR="00D85ECC">
        <w:rPr>
          <w:rFonts w:hint="eastAsia"/>
          <w:sz w:val="32"/>
          <w:szCs w:val="32"/>
        </w:rPr>
        <w:t>160.37</w:t>
      </w:r>
      <w:r>
        <w:rPr>
          <w:sz w:val="32"/>
          <w:szCs w:val="32"/>
        </w:rPr>
        <w:t>元，工程</w:t>
      </w:r>
      <w:r w:rsidR="00D85ECC">
        <w:rPr>
          <w:rFonts w:hint="eastAsia"/>
          <w:sz w:val="32"/>
          <w:szCs w:val="32"/>
        </w:rPr>
        <w:t>0</w:t>
      </w:r>
      <w:r>
        <w:rPr>
          <w:sz w:val="32"/>
          <w:szCs w:val="32"/>
        </w:rPr>
        <w:t>万元，服务</w:t>
      </w:r>
      <w:r w:rsidR="00D85ECC">
        <w:rPr>
          <w:rFonts w:hint="eastAsia"/>
          <w:sz w:val="32"/>
          <w:szCs w:val="32"/>
        </w:rPr>
        <w:t>66.02</w:t>
      </w:r>
      <w:r>
        <w:rPr>
          <w:sz w:val="32"/>
          <w:szCs w:val="32"/>
        </w:rPr>
        <w:t>万元。</w:t>
      </w:r>
    </w:p>
    <w:p w:rsidR="00EF5BE6" w:rsidRDefault="00357CEE">
      <w:pPr>
        <w:pStyle w:val="a4"/>
        <w:widowControl/>
        <w:numPr>
          <w:ilvl w:val="0"/>
          <w:numId w:val="2"/>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政府性基金预算支出情况</w:t>
      </w:r>
    </w:p>
    <w:p w:rsidR="00EF5BE6" w:rsidRDefault="00357CEE">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lastRenderedPageBreak/>
        <w:t>西岩镇人民政府</w:t>
      </w:r>
      <w:r>
        <w:rPr>
          <w:rFonts w:hint="eastAsia"/>
          <w:kern w:val="0"/>
          <w:sz w:val="32"/>
          <w:szCs w:val="32"/>
        </w:rPr>
        <w:t xml:space="preserve"> 2024</w:t>
      </w:r>
      <w:r>
        <w:rPr>
          <w:rFonts w:hint="eastAsia"/>
          <w:kern w:val="0"/>
          <w:sz w:val="32"/>
          <w:szCs w:val="32"/>
        </w:rPr>
        <w:t>年度政府性基金财政拨款基本支出年初结转和结余</w:t>
      </w:r>
      <w:r>
        <w:rPr>
          <w:rFonts w:hint="eastAsia"/>
          <w:kern w:val="0"/>
          <w:sz w:val="32"/>
          <w:szCs w:val="32"/>
        </w:rPr>
        <w:t>0</w:t>
      </w:r>
      <w:r>
        <w:rPr>
          <w:rFonts w:hint="eastAsia"/>
          <w:kern w:val="0"/>
          <w:sz w:val="32"/>
          <w:szCs w:val="32"/>
        </w:rPr>
        <w:t>万元，本年收入</w:t>
      </w:r>
      <w:r w:rsidR="00D85ECC">
        <w:rPr>
          <w:rFonts w:hint="eastAsia"/>
          <w:kern w:val="0"/>
          <w:sz w:val="32"/>
          <w:szCs w:val="32"/>
        </w:rPr>
        <w:t>246.39</w:t>
      </w:r>
      <w:r>
        <w:rPr>
          <w:rFonts w:hint="eastAsia"/>
          <w:kern w:val="0"/>
          <w:sz w:val="32"/>
          <w:szCs w:val="32"/>
        </w:rPr>
        <w:t>万元，本年支出</w:t>
      </w:r>
      <w:bookmarkStart w:id="0" w:name="_GoBack"/>
      <w:bookmarkEnd w:id="0"/>
      <w:r w:rsidR="00D85ECC">
        <w:rPr>
          <w:rFonts w:hint="eastAsia"/>
          <w:kern w:val="0"/>
          <w:sz w:val="32"/>
          <w:szCs w:val="32"/>
        </w:rPr>
        <w:t>246.39</w:t>
      </w:r>
      <w:r>
        <w:rPr>
          <w:rFonts w:hint="eastAsia"/>
          <w:kern w:val="0"/>
          <w:sz w:val="32"/>
          <w:szCs w:val="32"/>
        </w:rPr>
        <w:t>万元，年末结转和结余</w:t>
      </w:r>
      <w:r>
        <w:rPr>
          <w:rFonts w:hint="eastAsia"/>
          <w:kern w:val="0"/>
          <w:sz w:val="32"/>
          <w:szCs w:val="32"/>
        </w:rPr>
        <w:t>0</w:t>
      </w:r>
      <w:r>
        <w:rPr>
          <w:rFonts w:hint="eastAsia"/>
          <w:kern w:val="0"/>
          <w:sz w:val="32"/>
          <w:szCs w:val="32"/>
        </w:rPr>
        <w:t>万元。</w:t>
      </w:r>
    </w:p>
    <w:p w:rsidR="00EF5BE6" w:rsidRDefault="00357CEE">
      <w:pPr>
        <w:pStyle w:val="a4"/>
        <w:widowControl/>
        <w:numPr>
          <w:ilvl w:val="0"/>
          <w:numId w:val="2"/>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EF5BE6" w:rsidRDefault="00357CEE">
      <w:pPr>
        <w:pStyle w:val="a4"/>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shd w:val="clear" w:color="auto" w:fill="FFFFFF"/>
        </w:rPr>
      </w:pPr>
      <w:r>
        <w:rPr>
          <w:rFonts w:hint="eastAsia"/>
          <w:sz w:val="32"/>
          <w:szCs w:val="32"/>
        </w:rPr>
        <w:t>无。</w:t>
      </w:r>
    </w:p>
    <w:p w:rsidR="00EF5BE6" w:rsidRDefault="00357CEE">
      <w:pPr>
        <w:pStyle w:val="a4"/>
        <w:widowControl/>
        <w:numPr>
          <w:ilvl w:val="0"/>
          <w:numId w:val="2"/>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社会保险基金预算支出情况</w:t>
      </w:r>
    </w:p>
    <w:p w:rsidR="00EF5BE6" w:rsidRDefault="00357CEE" w:rsidP="00EF5BE6">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t>无。</w:t>
      </w:r>
    </w:p>
    <w:p w:rsidR="00EF5BE6" w:rsidRDefault="00357CEE">
      <w:pPr>
        <w:pStyle w:val="a4"/>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六、部门整体支出绩效情况</w:t>
      </w:r>
    </w:p>
    <w:p w:rsidR="00EF5BE6" w:rsidRDefault="00357CEE">
      <w:pPr>
        <w:pStyle w:val="a4"/>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（一）综合评价结论。</w:t>
      </w:r>
    </w:p>
    <w:p w:rsidR="00EF5BE6" w:rsidRDefault="00357CEE">
      <w:pPr>
        <w:pStyle w:val="a4"/>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rPr>
      </w:pPr>
      <w:r>
        <w:rPr>
          <w:rFonts w:ascii="仿宋" w:eastAsia="仿宋" w:hAnsi="仿宋" w:hint="eastAsia"/>
          <w:bCs/>
          <w:sz w:val="32"/>
          <w:szCs w:val="32"/>
        </w:rPr>
        <w:t>我镇严格按照省、市县相关考核要求，如期按时按质量完成各项工作指标。重点工作办结率100%。本年度绩效自评得分98分。本部门整体支出和项目支出实行绩效目标管理，纳入2024年部门整体支出绩效目标的</w:t>
      </w:r>
      <w:r w:rsidRPr="00D85ECC">
        <w:rPr>
          <w:rFonts w:ascii="仿宋" w:eastAsia="仿宋" w:hAnsi="仿宋" w:hint="eastAsia"/>
          <w:bCs/>
          <w:sz w:val="32"/>
          <w:szCs w:val="32"/>
        </w:rPr>
        <w:t>金额为万元，</w:t>
      </w:r>
      <w:r w:rsidRPr="00D85ECC">
        <w:rPr>
          <w:rFonts w:ascii="仿宋" w:eastAsia="仿宋" w:hAnsi="仿宋" w:cs="Arial Unicode MS" w:hint="eastAsia"/>
          <w:sz w:val="32"/>
          <w:szCs w:val="32"/>
        </w:rPr>
        <w:t>其中：基本支出</w:t>
      </w:r>
      <w:r w:rsidR="00D85ECC" w:rsidRPr="00D85ECC">
        <w:rPr>
          <w:rFonts w:ascii="仿宋" w:eastAsia="仿宋" w:hAnsi="仿宋" w:cs="Arial Unicode MS" w:hint="eastAsia"/>
          <w:sz w:val="32"/>
          <w:szCs w:val="32"/>
        </w:rPr>
        <w:t>3675.65</w:t>
      </w:r>
      <w:r w:rsidRPr="00D85ECC">
        <w:rPr>
          <w:rFonts w:ascii="仿宋" w:eastAsia="仿宋" w:hAnsi="仿宋" w:cs="Arial Unicode MS" w:hint="eastAsia"/>
          <w:sz w:val="32"/>
          <w:szCs w:val="32"/>
        </w:rPr>
        <w:t>万元，项目支出</w:t>
      </w:r>
      <w:r w:rsidR="00D85ECC" w:rsidRPr="00D85ECC">
        <w:rPr>
          <w:rFonts w:ascii="仿宋" w:eastAsia="仿宋" w:hAnsi="仿宋" w:cs="Arial Unicode MS" w:hint="eastAsia"/>
          <w:sz w:val="32"/>
          <w:szCs w:val="32"/>
        </w:rPr>
        <w:t>86.36</w:t>
      </w:r>
      <w:r w:rsidRPr="00D85ECC">
        <w:rPr>
          <w:rFonts w:ascii="仿宋" w:eastAsia="仿宋" w:hAnsi="仿宋" w:cs="Arial Unicode MS" w:hint="eastAsia"/>
          <w:sz w:val="32"/>
          <w:szCs w:val="32"/>
        </w:rPr>
        <w:t>万元，</w:t>
      </w:r>
      <w:r>
        <w:rPr>
          <w:rFonts w:ascii="仿宋" w:eastAsia="仿宋" w:hAnsi="仿宋" w:hint="eastAsia"/>
          <w:bCs/>
          <w:sz w:val="32"/>
          <w:szCs w:val="32"/>
        </w:rPr>
        <w:t>完成了年初制订的绩效工作目标。</w:t>
      </w:r>
    </w:p>
    <w:p w:rsidR="00EF5BE6" w:rsidRDefault="00357CEE">
      <w:pPr>
        <w:pStyle w:val="a4"/>
        <w:widowControl/>
        <w:numPr>
          <w:ilvl w:val="0"/>
          <w:numId w:val="3"/>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评价指标分析（或综合评价情况）。</w:t>
      </w:r>
    </w:p>
    <w:p w:rsidR="00EF5BE6" w:rsidRDefault="00357CEE">
      <w:pPr>
        <w:pStyle w:val="a4"/>
        <w:widowControl/>
        <w:shd w:val="clear" w:color="auto" w:fill="FFFFFF"/>
        <w:snapToGrid w:val="0"/>
        <w:spacing w:beforeAutospacing="0" w:afterAutospacing="0" w:line="520" w:lineRule="exact"/>
        <w:ind w:firstLineChars="200" w:firstLine="640"/>
        <w:rPr>
          <w:sz w:val="32"/>
          <w:szCs w:val="32"/>
        </w:rPr>
      </w:pPr>
      <w:r>
        <w:rPr>
          <w:sz w:val="32"/>
          <w:szCs w:val="32"/>
        </w:rPr>
        <w:t>今年以来，西岩镇在县委、县政府的正确领导下，团结带领全镇干部群众，奋发有为、真抓实干、攻坚克难，有力推动各项工作顺利开展并较好完成了全年各项目标任务</w:t>
      </w:r>
      <w:r>
        <w:rPr>
          <w:rFonts w:hint="eastAsia"/>
          <w:sz w:val="32"/>
          <w:szCs w:val="32"/>
        </w:rPr>
        <w:t>。</w:t>
      </w:r>
    </w:p>
    <w:p w:rsidR="00EF5BE6" w:rsidRDefault="00357CEE">
      <w:pPr>
        <w:pStyle w:val="a4"/>
        <w:widowControl/>
        <w:numPr>
          <w:ilvl w:val="0"/>
          <w:numId w:val="4"/>
        </w:numPr>
        <w:shd w:val="clear" w:color="auto" w:fill="FFFFFF"/>
        <w:snapToGrid w:val="0"/>
        <w:spacing w:beforeAutospacing="0" w:afterAutospacing="0" w:line="520" w:lineRule="exact"/>
        <w:ind w:firstLineChars="200" w:firstLine="640"/>
        <w:rPr>
          <w:sz w:val="32"/>
          <w:szCs w:val="32"/>
        </w:rPr>
      </w:pPr>
      <w:r>
        <w:rPr>
          <w:rFonts w:hint="eastAsia"/>
          <w:sz w:val="32"/>
          <w:szCs w:val="32"/>
        </w:rPr>
        <w:t>支出管理方面。本单位</w:t>
      </w:r>
      <w:r>
        <w:rPr>
          <w:rFonts w:hint="eastAsia"/>
          <w:sz w:val="32"/>
          <w:szCs w:val="32"/>
        </w:rPr>
        <w:t>2024</w:t>
      </w:r>
      <w:r>
        <w:rPr>
          <w:rFonts w:hint="eastAsia"/>
          <w:sz w:val="32"/>
          <w:szCs w:val="32"/>
        </w:rPr>
        <w:t>年按批复的预算文件履行当年预算，在预算内、范围内按预算安排支出，并按项目进度支付资金。当年支出按照行政事业单位相关规定列支，严格按照先有预算，后有支出原则，加强对财务、物资采购、资金使用等方面的管理，规范预算资金支出。</w:t>
      </w:r>
    </w:p>
    <w:p w:rsidR="00EF5BE6" w:rsidRDefault="00357CEE">
      <w:pPr>
        <w:pStyle w:val="a4"/>
        <w:widowControl/>
        <w:numPr>
          <w:ilvl w:val="0"/>
          <w:numId w:val="4"/>
        </w:numPr>
        <w:shd w:val="clear" w:color="auto" w:fill="FFFFFF"/>
        <w:snapToGrid w:val="0"/>
        <w:spacing w:beforeAutospacing="0" w:afterAutospacing="0" w:line="520" w:lineRule="exact"/>
        <w:ind w:firstLineChars="200" w:firstLine="640"/>
        <w:rPr>
          <w:sz w:val="32"/>
          <w:szCs w:val="32"/>
        </w:rPr>
      </w:pPr>
      <w:r>
        <w:rPr>
          <w:rFonts w:hint="eastAsia"/>
          <w:sz w:val="32"/>
          <w:szCs w:val="32"/>
        </w:rPr>
        <w:t>项目管理方面。本单位</w:t>
      </w:r>
      <w:r>
        <w:rPr>
          <w:rFonts w:hint="eastAsia"/>
          <w:sz w:val="32"/>
          <w:szCs w:val="32"/>
        </w:rPr>
        <w:t>2024</w:t>
      </w:r>
      <w:r>
        <w:rPr>
          <w:rFonts w:hint="eastAsia"/>
          <w:sz w:val="32"/>
          <w:szCs w:val="32"/>
        </w:rPr>
        <w:t>年项目支出按规定申请当年预算和绩效目标，履行报批手续，项目支出严格按照行政事业单位相关规定。</w:t>
      </w:r>
    </w:p>
    <w:p w:rsidR="00EF5BE6" w:rsidRDefault="00357CEE">
      <w:pPr>
        <w:pStyle w:val="a4"/>
        <w:widowControl/>
        <w:numPr>
          <w:ilvl w:val="0"/>
          <w:numId w:val="4"/>
        </w:numPr>
        <w:shd w:val="clear" w:color="auto" w:fill="FFFFFF"/>
        <w:snapToGrid w:val="0"/>
        <w:spacing w:beforeAutospacing="0" w:afterAutospacing="0" w:line="520" w:lineRule="exact"/>
        <w:ind w:firstLineChars="200" w:firstLine="640"/>
        <w:rPr>
          <w:sz w:val="32"/>
          <w:szCs w:val="32"/>
        </w:rPr>
      </w:pPr>
      <w:r>
        <w:rPr>
          <w:rFonts w:hint="eastAsia"/>
          <w:sz w:val="32"/>
          <w:szCs w:val="32"/>
        </w:rPr>
        <w:lastRenderedPageBreak/>
        <w:t>项目监管方面。当年度对项目经费和县局下达的专项工作经费的支出，开展有效的检查、监控、督促，规范使用项目资金，发挥项目资金使用效能。</w:t>
      </w:r>
    </w:p>
    <w:p w:rsidR="00EF5BE6" w:rsidRDefault="00357CEE">
      <w:pPr>
        <w:pStyle w:val="a4"/>
        <w:widowControl/>
        <w:numPr>
          <w:ilvl w:val="0"/>
          <w:numId w:val="4"/>
        </w:numPr>
        <w:shd w:val="clear" w:color="auto" w:fill="FFFFFF"/>
        <w:snapToGrid w:val="0"/>
        <w:spacing w:beforeAutospacing="0" w:afterAutospacing="0" w:line="520" w:lineRule="exact"/>
        <w:ind w:firstLineChars="200" w:firstLine="640"/>
        <w:rPr>
          <w:sz w:val="32"/>
          <w:szCs w:val="32"/>
        </w:rPr>
      </w:pPr>
      <w:r>
        <w:rPr>
          <w:rFonts w:hint="eastAsia"/>
          <w:sz w:val="32"/>
          <w:szCs w:val="32"/>
        </w:rPr>
        <w:t>资产管理情况。本单位资产管理职能主要由财政所负责国有资产的购置入库、计提折旧、报废、转移等工作的管理与监督，准确及时把握资产的增减变动及其结存情况，实现资产的全生命周期管理。</w:t>
      </w:r>
    </w:p>
    <w:p w:rsidR="00EF5BE6" w:rsidRDefault="00357CEE">
      <w:pPr>
        <w:pStyle w:val="a4"/>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七、存在的问题及原因分析</w:t>
      </w:r>
    </w:p>
    <w:p w:rsidR="00EF5BE6" w:rsidRDefault="00357CEE">
      <w:pPr>
        <w:pStyle w:val="a4"/>
        <w:widowControl/>
        <w:shd w:val="clear" w:color="auto" w:fill="FFFFFF"/>
        <w:snapToGrid w:val="0"/>
        <w:spacing w:beforeAutospacing="0" w:afterAutospacing="0" w:line="520" w:lineRule="exact"/>
        <w:ind w:firstLineChars="200" w:firstLine="640"/>
        <w:rPr>
          <w:rFonts w:ascii="仿宋_GB2312" w:cs="仿宋_GB2312"/>
          <w:color w:val="000000"/>
          <w:sz w:val="32"/>
          <w:szCs w:val="32"/>
          <w:shd w:val="clear" w:color="auto" w:fill="FFFFFF"/>
        </w:rPr>
      </w:pPr>
      <w:r>
        <w:rPr>
          <w:rFonts w:hint="eastAsia"/>
          <w:sz w:val="32"/>
          <w:szCs w:val="32"/>
        </w:rPr>
        <w:t>综合上述自评情况和考核评分情况，我镇绩效评估自评总得分为</w:t>
      </w:r>
      <w:r>
        <w:rPr>
          <w:rFonts w:hint="eastAsia"/>
          <w:sz w:val="32"/>
          <w:szCs w:val="32"/>
        </w:rPr>
        <w:t>98</w:t>
      </w:r>
      <w:r>
        <w:rPr>
          <w:rFonts w:hint="eastAsia"/>
          <w:sz w:val="32"/>
          <w:szCs w:val="32"/>
        </w:rPr>
        <w:t>分。我镇虽然在财政资金使用管理工作中取得一些成效，但也存在一些问题和不足，工作较为繁杂，存在人员专业知识不足及人员不足等问题，预算绩效管理具有专业性和复杂性，工作人员业务水平有待提升，预算绩效管理工作有待加强。这些都在一定程度制约着我镇各项工作的有序开展。</w:t>
      </w:r>
    </w:p>
    <w:p w:rsidR="00EF5BE6" w:rsidRDefault="00357CEE">
      <w:pPr>
        <w:pStyle w:val="a4"/>
        <w:widowControl/>
        <w:numPr>
          <w:ilvl w:val="0"/>
          <w:numId w:val="5"/>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下一步改进措施</w:t>
      </w:r>
    </w:p>
    <w:p w:rsidR="00EF5BE6" w:rsidRDefault="00357CEE">
      <w:pPr>
        <w:pStyle w:val="a4"/>
        <w:widowControl/>
        <w:shd w:val="clear" w:color="auto" w:fill="FFFFFF"/>
        <w:snapToGrid w:val="0"/>
        <w:spacing w:beforeAutospacing="0" w:afterAutospacing="0" w:line="520" w:lineRule="exact"/>
        <w:ind w:firstLineChars="200" w:firstLine="640"/>
        <w:rPr>
          <w:sz w:val="32"/>
          <w:szCs w:val="32"/>
        </w:rPr>
      </w:pPr>
      <w:r>
        <w:rPr>
          <w:rFonts w:hint="eastAsia"/>
          <w:sz w:val="32"/>
          <w:szCs w:val="32"/>
        </w:rPr>
        <w:t xml:space="preserve"> </w:t>
      </w:r>
      <w:r>
        <w:rPr>
          <w:rFonts w:hint="eastAsia"/>
          <w:sz w:val="32"/>
          <w:szCs w:val="32"/>
        </w:rPr>
        <w:t>一是加强制度建设，严格财务审核。及时调整不符合现状的财务规章制度，充实和完善有关财政财务管理办法，细化有关财政财务管理规定，使乡镇财政财务管理有章可循。在费用报账支付时，按照预算规定的费用项目和用途进行资金使用审核、列报支付、财务核算，杜绝超支现象的发生，最大限度提高资金的使用效率。</w:t>
      </w:r>
    </w:p>
    <w:p w:rsidR="00EF5BE6" w:rsidRDefault="00357CEE">
      <w:pPr>
        <w:pStyle w:val="a4"/>
        <w:widowControl/>
        <w:shd w:val="clear" w:color="auto" w:fill="FFFFFF"/>
        <w:snapToGrid w:val="0"/>
        <w:spacing w:beforeAutospacing="0" w:afterAutospacing="0" w:line="520" w:lineRule="exact"/>
        <w:ind w:firstLineChars="200" w:firstLine="640"/>
        <w:rPr>
          <w:sz w:val="32"/>
          <w:szCs w:val="32"/>
        </w:rPr>
      </w:pPr>
      <w:r>
        <w:rPr>
          <w:rFonts w:hint="eastAsia"/>
          <w:sz w:val="32"/>
          <w:szCs w:val="32"/>
        </w:rPr>
        <w:t>二是加强工作人员对预算绩效管理方面的业务培训，提升工作人员绩效管理工作水平。</w:t>
      </w:r>
    </w:p>
    <w:p w:rsidR="00EF5BE6" w:rsidRDefault="00357CEE">
      <w:pPr>
        <w:pStyle w:val="a4"/>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九、其他需要说明的情况</w:t>
      </w:r>
    </w:p>
    <w:p w:rsidR="00EF5BE6" w:rsidRDefault="00357CEE">
      <w:pPr>
        <w:pStyle w:val="a4"/>
        <w:widowControl/>
        <w:shd w:val="clear" w:color="auto" w:fill="FFFFFF"/>
        <w:snapToGrid w:val="0"/>
        <w:spacing w:beforeAutospacing="0" w:afterAutospacing="0" w:line="520" w:lineRule="exact"/>
        <w:ind w:firstLineChars="200" w:firstLine="640"/>
        <w:rPr>
          <w:sz w:val="32"/>
          <w:szCs w:val="32"/>
        </w:rPr>
      </w:pPr>
      <w:r>
        <w:rPr>
          <w:rFonts w:hint="eastAsia"/>
          <w:sz w:val="32"/>
          <w:szCs w:val="32"/>
        </w:rPr>
        <w:t>无。</w:t>
      </w: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atLeast"/>
        <w:jc w:val="both"/>
        <w:rPr>
          <w:rFonts w:ascii="Calibri" w:hAnsi="Calibri" w:cs="Calibri"/>
          <w:color w:val="000000"/>
          <w:szCs w:val="24"/>
        </w:rPr>
      </w:pPr>
    </w:p>
    <w:p w:rsidR="00EF5BE6" w:rsidRDefault="00EF5BE6">
      <w:pPr>
        <w:pStyle w:val="a4"/>
        <w:widowControl/>
        <w:shd w:val="clear" w:color="auto" w:fill="FFFFFF"/>
        <w:spacing w:beforeAutospacing="0" w:afterAutospacing="0" w:line="480" w:lineRule="exact"/>
        <w:jc w:val="both"/>
        <w:rPr>
          <w:rFonts w:ascii="方正小标宋_GBK" w:eastAsia="方正小标宋_GBK" w:hAnsi="方正小标宋_GBK" w:cs="方正小标宋_GBK"/>
          <w:color w:val="000000"/>
          <w:sz w:val="32"/>
          <w:szCs w:val="32"/>
          <w:shd w:val="clear" w:color="auto" w:fill="FFFFFF"/>
        </w:rPr>
      </w:pPr>
    </w:p>
    <w:p w:rsidR="00EF5BE6" w:rsidRDefault="00EF5BE6">
      <w:pPr>
        <w:jc w:val="left"/>
        <w:rPr>
          <w:rFonts w:ascii="仿宋" w:eastAsia="仿宋" w:hAnsi="仿宋" w:cs="仿宋"/>
          <w:b/>
          <w:bCs/>
          <w:sz w:val="30"/>
          <w:szCs w:val="30"/>
        </w:rPr>
      </w:pPr>
    </w:p>
    <w:sectPr w:rsidR="00EF5BE6" w:rsidSect="00EF5BE6">
      <w:pgSz w:w="11906" w:h="16838"/>
      <w:pgMar w:top="1440" w:right="1134" w:bottom="1440"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529" w:rsidRDefault="004D7529" w:rsidP="004D7529">
      <w:r>
        <w:separator/>
      </w:r>
    </w:p>
  </w:endnote>
  <w:endnote w:type="continuationSeparator" w:id="1">
    <w:p w:rsidR="004D7529" w:rsidRDefault="004D7529" w:rsidP="004D7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529" w:rsidRDefault="004D7529" w:rsidP="004D7529">
      <w:r>
        <w:separator/>
      </w:r>
    </w:p>
  </w:footnote>
  <w:footnote w:type="continuationSeparator" w:id="1">
    <w:p w:rsidR="004D7529" w:rsidRDefault="004D7529" w:rsidP="004D7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3A7601"/>
    <w:multiLevelType w:val="singleLevel"/>
    <w:tmpl w:val="943A7601"/>
    <w:lvl w:ilvl="0">
      <w:start w:val="8"/>
      <w:numFmt w:val="chineseCounting"/>
      <w:suff w:val="nothing"/>
      <w:lvlText w:val="%1、"/>
      <w:lvlJc w:val="left"/>
      <w:rPr>
        <w:rFonts w:hint="eastAsia"/>
      </w:rPr>
    </w:lvl>
  </w:abstractNum>
  <w:abstractNum w:abstractNumId="1">
    <w:nsid w:val="D8CCC9BA"/>
    <w:multiLevelType w:val="singleLevel"/>
    <w:tmpl w:val="D8CCC9BA"/>
    <w:lvl w:ilvl="0">
      <w:start w:val="1"/>
      <w:numFmt w:val="decimal"/>
      <w:suff w:val="nothing"/>
      <w:lvlText w:val="（%1）"/>
      <w:lvlJc w:val="left"/>
    </w:lvl>
  </w:abstractNum>
  <w:abstractNum w:abstractNumId="2">
    <w:nsid w:val="1CA38814"/>
    <w:multiLevelType w:val="singleLevel"/>
    <w:tmpl w:val="1CA38814"/>
    <w:lvl w:ilvl="0">
      <w:start w:val="4"/>
      <w:numFmt w:val="chineseCounting"/>
      <w:suff w:val="nothing"/>
      <w:lvlText w:val="（%1）"/>
      <w:lvlJc w:val="left"/>
      <w:rPr>
        <w:rFonts w:hint="eastAsia"/>
      </w:rPr>
    </w:lvl>
  </w:abstractNum>
  <w:abstractNum w:abstractNumId="3">
    <w:nsid w:val="312060B7"/>
    <w:multiLevelType w:val="singleLevel"/>
    <w:tmpl w:val="312060B7"/>
    <w:lvl w:ilvl="0">
      <w:start w:val="3"/>
      <w:numFmt w:val="chineseCounting"/>
      <w:suff w:val="nothing"/>
      <w:lvlText w:val="%1、"/>
      <w:lvlJc w:val="left"/>
      <w:rPr>
        <w:rFonts w:hint="eastAsia"/>
      </w:rPr>
    </w:lvl>
  </w:abstractNum>
  <w:abstractNum w:abstractNumId="4">
    <w:nsid w:val="557D43EB"/>
    <w:multiLevelType w:val="singleLevel"/>
    <w:tmpl w:val="557D43EB"/>
    <w:lvl w:ilvl="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RlYzk3MDk0MzVkYmQ0NWI4MjVmYTUxZTE0NzU0NzUifQ=="/>
    <w:docVar w:name="KSO_WPS_MARK_KEY" w:val="2cad2da4-8c74-4208-b950-09c4ddb6f378"/>
  </w:docVars>
  <w:rsids>
    <w:rsidRoot w:val="00EF5BE6"/>
    <w:rsid w:val="000719E0"/>
    <w:rsid w:val="00357CEE"/>
    <w:rsid w:val="004D7529"/>
    <w:rsid w:val="004E31F4"/>
    <w:rsid w:val="00680BE4"/>
    <w:rsid w:val="00A26EF9"/>
    <w:rsid w:val="00D85ECC"/>
    <w:rsid w:val="00EF5BE6"/>
    <w:rsid w:val="1EA33F65"/>
    <w:rsid w:val="269E5DD8"/>
    <w:rsid w:val="32636C88"/>
    <w:rsid w:val="4B72396B"/>
    <w:rsid w:val="56B14D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F5BE6"/>
    <w:pPr>
      <w:widowControl w:val="0"/>
      <w:jc w:val="both"/>
    </w:pPr>
    <w:rPr>
      <w:rFonts w:ascii="Times New Roman" w:eastAsia="仿宋_GB2312" w:hAnsi="Times New Roman" w:cs="Times New Roman"/>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F5BE6"/>
    <w:pPr>
      <w:ind w:firstLineChars="200" w:firstLine="420"/>
    </w:pPr>
    <w:rPr>
      <w:rFonts w:eastAsia="仿宋"/>
      <w:sz w:val="32"/>
    </w:rPr>
  </w:style>
  <w:style w:type="paragraph" w:styleId="a4">
    <w:name w:val="Normal (Web)"/>
    <w:basedOn w:val="a"/>
    <w:qFormat/>
    <w:rsid w:val="00EF5BE6"/>
    <w:pPr>
      <w:spacing w:beforeAutospacing="1" w:afterAutospacing="1"/>
      <w:jc w:val="left"/>
    </w:pPr>
    <w:rPr>
      <w:kern w:val="0"/>
      <w:sz w:val="24"/>
    </w:rPr>
  </w:style>
  <w:style w:type="paragraph" w:customStyle="1" w:styleId="1">
    <w:name w:val="列出段落1"/>
    <w:basedOn w:val="a"/>
    <w:uiPriority w:val="99"/>
    <w:qFormat/>
    <w:rsid w:val="00EF5BE6"/>
    <w:pPr>
      <w:ind w:firstLineChars="200" w:firstLine="420"/>
    </w:pPr>
    <w:rPr>
      <w:szCs w:val="24"/>
    </w:rPr>
  </w:style>
  <w:style w:type="paragraph" w:styleId="a5">
    <w:name w:val="header"/>
    <w:basedOn w:val="a"/>
    <w:link w:val="Char"/>
    <w:rsid w:val="004D75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4D7529"/>
    <w:rPr>
      <w:rFonts w:ascii="Times New Roman" w:eastAsia="仿宋_GB2312" w:hAnsi="Times New Roman" w:cs="Times New Roman"/>
      <w:kern w:val="2"/>
      <w:sz w:val="18"/>
      <w:szCs w:val="18"/>
    </w:rPr>
  </w:style>
  <w:style w:type="paragraph" w:styleId="a6">
    <w:name w:val="footer"/>
    <w:basedOn w:val="a"/>
    <w:link w:val="Char0"/>
    <w:rsid w:val="004D7529"/>
    <w:pPr>
      <w:tabs>
        <w:tab w:val="center" w:pos="4153"/>
        <w:tab w:val="right" w:pos="8306"/>
      </w:tabs>
      <w:snapToGrid w:val="0"/>
      <w:jc w:val="left"/>
    </w:pPr>
    <w:rPr>
      <w:sz w:val="18"/>
      <w:szCs w:val="18"/>
    </w:rPr>
  </w:style>
  <w:style w:type="character" w:customStyle="1" w:styleId="Char0">
    <w:name w:val="页脚 Char"/>
    <w:basedOn w:val="a1"/>
    <w:link w:val="a6"/>
    <w:rsid w:val="004D7529"/>
    <w:rPr>
      <w:rFonts w:ascii="Times New Roman" w:eastAsia="仿宋_GB2312" w:hAnsi="Times New Roman" w:cs="Times New Roman"/>
      <w:kern w:val="2"/>
      <w:sz w:val="18"/>
      <w:szCs w:val="18"/>
    </w:rPr>
  </w:style>
  <w:style w:type="paragraph" w:styleId="a7">
    <w:name w:val="Balloon Text"/>
    <w:basedOn w:val="a"/>
    <w:link w:val="Char1"/>
    <w:rsid w:val="000719E0"/>
    <w:rPr>
      <w:sz w:val="18"/>
      <w:szCs w:val="18"/>
    </w:rPr>
  </w:style>
  <w:style w:type="character" w:customStyle="1" w:styleId="Char1">
    <w:name w:val="批注框文本 Char"/>
    <w:basedOn w:val="a1"/>
    <w:link w:val="a7"/>
    <w:rsid w:val="000719E0"/>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Pages>
  <Words>1943</Words>
  <Characters>187</Characters>
  <Application>Microsoft Office Word</Application>
  <DocSecurity>0</DocSecurity>
  <Lines>1</Lines>
  <Paragraphs>4</Paragraphs>
  <ScaleCrop>false</ScaleCrop>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cp:lastModifiedBy>
  <cp:revision>5</cp:revision>
  <dcterms:created xsi:type="dcterms:W3CDTF">2021-09-17T07:11:00Z</dcterms:created>
  <dcterms:modified xsi:type="dcterms:W3CDTF">2025-04-14T06:03:00Z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ABE4CAEE293A49C6932CFA2FCA0EF3DD_13</vt:lpwstr>
  </property>
  <property fmtid="{D5CDD505-2E9C-101B-9397-08002B2CF9AE}" pid="4" name="KSOTemplateDocerSaveRecord">
    <vt:lpwstr>eyJoZGlkIjoiOGQzYTM4MDYwMDZhMTA5MDA4MWYzODVmZTRhODE3OGEiLCJ1c2VySWQiOiIxMTI0Nzk4MDA4In0=</vt:lpwstr>
  </property>
</Properties>
</file>