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5DDF1">
      <w:pPr>
        <w:spacing w:line="600" w:lineRule="exact"/>
        <w:rPr>
          <w:rFonts w:ascii="Times New Roman" w:hAnsi="Times New Roman" w:eastAsia="黑体" w:cs="Times New Roman"/>
          <w:sz w:val="32"/>
          <w:szCs w:val="32"/>
        </w:rPr>
      </w:pPr>
    </w:p>
    <w:p w14:paraId="448214DE">
      <w:pPr>
        <w:spacing w:line="600" w:lineRule="exact"/>
        <w:rPr>
          <w:rFonts w:ascii="Times New Roman" w:hAnsi="Times New Roman" w:eastAsia="黑体" w:cs="Times New Roman"/>
          <w:sz w:val="32"/>
          <w:szCs w:val="32"/>
        </w:rPr>
      </w:pPr>
    </w:p>
    <w:p w14:paraId="31A9621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医疗保障局</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535FD1C8">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5F97B45">
      <w:pPr>
        <w:jc w:val="center"/>
        <w:rPr>
          <w:rFonts w:ascii="Times New Roman" w:hAnsi="Times New Roman" w:eastAsia="方正小标宋_GBK" w:cs="Times New Roman"/>
          <w:b/>
          <w:sz w:val="52"/>
          <w:szCs w:val="52"/>
        </w:rPr>
      </w:pPr>
    </w:p>
    <w:p w14:paraId="01462BBE">
      <w:pPr>
        <w:jc w:val="center"/>
        <w:rPr>
          <w:rFonts w:ascii="Times New Roman" w:hAnsi="Times New Roman" w:eastAsia="黑体" w:cs="Times New Roman"/>
          <w:sz w:val="32"/>
          <w:szCs w:val="32"/>
        </w:rPr>
      </w:pPr>
    </w:p>
    <w:p w14:paraId="2C9D77DB">
      <w:pPr>
        <w:jc w:val="center"/>
        <w:rPr>
          <w:rFonts w:ascii="Times New Roman" w:hAnsi="Times New Roman" w:eastAsia="黑体" w:cs="Times New Roman"/>
          <w:sz w:val="32"/>
          <w:szCs w:val="32"/>
        </w:rPr>
      </w:pPr>
    </w:p>
    <w:p w14:paraId="6F4D8A11">
      <w:pPr>
        <w:jc w:val="center"/>
        <w:rPr>
          <w:rFonts w:ascii="Times New Roman" w:hAnsi="Times New Roman" w:eastAsia="黑体" w:cs="Times New Roman"/>
          <w:sz w:val="32"/>
          <w:szCs w:val="32"/>
        </w:rPr>
      </w:pPr>
    </w:p>
    <w:p w14:paraId="68D46DC8">
      <w:pPr>
        <w:jc w:val="center"/>
        <w:rPr>
          <w:rFonts w:ascii="Times New Roman" w:hAnsi="Times New Roman" w:eastAsia="黑体" w:cs="Times New Roman"/>
          <w:sz w:val="32"/>
          <w:szCs w:val="32"/>
        </w:rPr>
      </w:pPr>
    </w:p>
    <w:p w14:paraId="1F5BE1B2">
      <w:pPr>
        <w:jc w:val="center"/>
        <w:rPr>
          <w:rFonts w:ascii="Times New Roman" w:hAnsi="Times New Roman" w:eastAsia="黑体" w:cs="Times New Roman"/>
          <w:sz w:val="32"/>
          <w:szCs w:val="32"/>
        </w:rPr>
      </w:pPr>
    </w:p>
    <w:p w14:paraId="7CE7E78C">
      <w:pPr>
        <w:jc w:val="center"/>
        <w:rPr>
          <w:rFonts w:ascii="Times New Roman" w:hAnsi="Times New Roman" w:eastAsia="黑体" w:cs="Times New Roman"/>
          <w:sz w:val="32"/>
          <w:szCs w:val="32"/>
        </w:rPr>
      </w:pPr>
    </w:p>
    <w:p w14:paraId="0CA6D417">
      <w:pPr>
        <w:jc w:val="center"/>
        <w:rPr>
          <w:rFonts w:ascii="Times New Roman" w:hAnsi="Times New Roman" w:eastAsia="黑体" w:cs="Times New Roman"/>
          <w:sz w:val="32"/>
          <w:szCs w:val="32"/>
        </w:rPr>
      </w:pPr>
    </w:p>
    <w:p w14:paraId="6955F1CB">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2BD929AA">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 </w:t>
      </w:r>
      <w:r>
        <w:rPr>
          <w:rFonts w:hint="eastAsia" w:ascii="仿宋" w:hAnsi="仿宋" w:eastAsia="仿宋" w:cs="仿宋"/>
          <w:sz w:val="40"/>
          <w:szCs w:val="40"/>
        </w:rPr>
        <w:t>日</w:t>
      </w:r>
    </w:p>
    <w:p w14:paraId="3C09A874"/>
    <w:p w14:paraId="46291B1F"/>
    <w:p w14:paraId="089C621E"/>
    <w:p w14:paraId="1B4E2E3D"/>
    <w:p w14:paraId="245D8571"/>
    <w:p w14:paraId="43589A15"/>
    <w:p w14:paraId="223365F4"/>
    <w:p w14:paraId="01C4F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CF25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医疗保障局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14:paraId="25F4F0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自</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评</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报</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告</w:t>
      </w:r>
    </w:p>
    <w:p w14:paraId="406CE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1987A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308D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C5BA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367E76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城步苗族自治县医疗保障局内设机构包括：内设股室5个，分别是：待遇保障股、基金监管股、办公室、规划财务和法规股、医药服务管理和医药价格招标采购股。所属二级单位</w:t>
      </w:r>
      <w:r>
        <w:rPr>
          <w:rFonts w:hint="eastAsia" w:ascii="仿宋_GB2312" w:hAnsi="仿宋"/>
          <w:sz w:val="32"/>
          <w:szCs w:val="32"/>
          <w:lang w:val="en-US" w:eastAsia="zh-CN"/>
        </w:rPr>
        <w:t>2</w:t>
      </w:r>
      <w:r>
        <w:rPr>
          <w:rFonts w:hint="eastAsia" w:ascii="仿宋_GB2312" w:hAnsi="仿宋" w:eastAsia="仿宋_GB2312"/>
          <w:sz w:val="32"/>
          <w:szCs w:val="32"/>
        </w:rPr>
        <w:t>个，所属单位是医疗保障事务中心</w:t>
      </w:r>
      <w:r>
        <w:rPr>
          <w:rFonts w:hint="eastAsia" w:ascii="仿宋_GB2312" w:hAnsi="仿宋"/>
          <w:sz w:val="32"/>
          <w:szCs w:val="32"/>
          <w:lang w:val="en-US" w:eastAsia="zh-CN"/>
        </w:rPr>
        <w:t>与医疗保障稽核中心</w:t>
      </w:r>
      <w:r>
        <w:rPr>
          <w:rFonts w:hint="eastAsia" w:ascii="仿宋_GB2312" w:hAnsi="仿宋" w:eastAsia="仿宋_GB2312"/>
          <w:sz w:val="32"/>
          <w:szCs w:val="32"/>
        </w:rPr>
        <w:t>。</w:t>
      </w:r>
    </w:p>
    <w:p w14:paraId="231E9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p>
    <w:p w14:paraId="5EBA17E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01327B6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局机关共有编制10人，年初实有人数为</w:t>
      </w:r>
      <w:r>
        <w:rPr>
          <w:rFonts w:hint="eastAsia"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人，年末实有人数8人，因工作调动调</w:t>
      </w:r>
      <w:r>
        <w:rPr>
          <w:rFonts w:hint="eastAsia" w:cs="Times New Roman"/>
          <w:color w:val="auto"/>
          <w:kern w:val="0"/>
          <w:sz w:val="32"/>
          <w:szCs w:val="32"/>
          <w:lang w:val="en-US" w:eastAsia="zh-CN"/>
        </w:rPr>
        <w:t>进1</w:t>
      </w:r>
      <w:r>
        <w:rPr>
          <w:rFonts w:hint="default" w:ascii="Times New Roman" w:hAnsi="Times New Roman" w:eastAsia="仿宋_GB2312" w:cs="Times New Roman"/>
          <w:color w:val="auto"/>
          <w:kern w:val="0"/>
          <w:sz w:val="32"/>
          <w:szCs w:val="32"/>
          <w:lang w:val="en-US" w:eastAsia="zh-CN"/>
        </w:rPr>
        <w:t>人</w:t>
      </w:r>
      <w:r>
        <w:rPr>
          <w:rFonts w:hint="eastAsia"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所属二级单位医疗保障事务中心共有编制</w:t>
      </w:r>
      <w:r>
        <w:rPr>
          <w:rFonts w:hint="eastAsia" w:cs="Times New Roman"/>
          <w:color w:val="auto"/>
          <w:kern w:val="0"/>
          <w:sz w:val="32"/>
          <w:szCs w:val="32"/>
          <w:lang w:val="en-US" w:eastAsia="zh-CN"/>
        </w:rPr>
        <w:t>17</w:t>
      </w:r>
      <w:r>
        <w:rPr>
          <w:rFonts w:hint="default" w:ascii="Times New Roman" w:hAnsi="Times New Roman" w:eastAsia="仿宋_GB2312" w:cs="Times New Roman"/>
          <w:color w:val="auto"/>
          <w:kern w:val="0"/>
          <w:sz w:val="32"/>
          <w:szCs w:val="32"/>
          <w:lang w:val="en-US" w:eastAsia="zh-CN"/>
        </w:rPr>
        <w:t>人，年初实有人数为</w:t>
      </w:r>
      <w:r>
        <w:rPr>
          <w:rFonts w:hint="eastAsia"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rPr>
        <w:t>人，年末实有人数</w:t>
      </w:r>
      <w:r>
        <w:rPr>
          <w:rFonts w:hint="eastAsia"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val="en-US" w:eastAsia="zh-CN"/>
        </w:rPr>
        <w:t>1人。</w:t>
      </w:r>
      <w:r>
        <w:rPr>
          <w:rFonts w:hint="eastAsia" w:ascii="仿宋_GB2312" w:hAnsi="仿宋"/>
          <w:sz w:val="32"/>
          <w:szCs w:val="32"/>
          <w:lang w:val="en-US" w:eastAsia="zh-CN"/>
        </w:rPr>
        <w:t>医疗保障稽核中心共有编制11人，</w:t>
      </w:r>
      <w:r>
        <w:rPr>
          <w:rFonts w:hint="default" w:ascii="Times New Roman" w:hAnsi="Times New Roman" w:eastAsia="仿宋_GB2312" w:cs="Times New Roman"/>
          <w:color w:val="auto"/>
          <w:kern w:val="0"/>
          <w:sz w:val="32"/>
          <w:szCs w:val="32"/>
          <w:lang w:val="en-US" w:eastAsia="zh-CN"/>
        </w:rPr>
        <w:t>年初实有人数为</w:t>
      </w:r>
      <w:r>
        <w:rPr>
          <w:rFonts w:hint="eastAsia"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val="en-US" w:eastAsia="zh-CN"/>
        </w:rPr>
        <w:t>人，年末实有人数</w:t>
      </w:r>
      <w:r>
        <w:rPr>
          <w:rFonts w:hint="eastAsia"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val="en-US" w:eastAsia="zh-CN"/>
        </w:rPr>
        <w:t>人</w:t>
      </w:r>
      <w:r>
        <w:rPr>
          <w:rFonts w:hint="eastAsia"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因工作调动调</w:t>
      </w:r>
      <w:r>
        <w:rPr>
          <w:rFonts w:hint="eastAsia" w:cs="Times New Roman"/>
          <w:color w:val="auto"/>
          <w:kern w:val="0"/>
          <w:sz w:val="32"/>
          <w:szCs w:val="32"/>
          <w:lang w:val="en-US" w:eastAsia="zh-CN"/>
        </w:rPr>
        <w:t>进</w:t>
      </w:r>
      <w:r>
        <w:rPr>
          <w:rFonts w:hint="default" w:ascii="Times New Roman" w:hAnsi="Times New Roman" w:eastAsia="仿宋_GB2312" w:cs="Times New Roman"/>
          <w:color w:val="auto"/>
          <w:kern w:val="0"/>
          <w:sz w:val="32"/>
          <w:szCs w:val="32"/>
          <w:lang w:val="en-US" w:eastAsia="zh-CN"/>
        </w:rPr>
        <w:t>2人，退休1人。</w:t>
      </w:r>
    </w:p>
    <w:p w14:paraId="5E66A45C">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14:paraId="3CAD02D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17C5CC3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val="en-US" w:eastAsia="zh-CN"/>
        </w:rPr>
        <w:t>贯彻执行国家和省、市关于医疗保险、生育保险、医疗救助等医疗保障制度的法律法规、政策规划和标准。</w:t>
      </w:r>
    </w:p>
    <w:p w14:paraId="745A57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en-US" w:eastAsia="zh-CN"/>
        </w:rPr>
        <w:t>组织制定并实施全县医疗保障基金监督管理办法，监督管理相关医疗保险基金。</w:t>
      </w:r>
    </w:p>
    <w:p w14:paraId="1A6D889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val="en-US" w:eastAsia="zh-CN"/>
        </w:rPr>
        <w:t>组织制定全县医疗保障筹资和待遇政策，完善动态调整和区域调剂平衡机制，统筹城乡医疗保障待遇标准。</w:t>
      </w:r>
    </w:p>
    <w:p w14:paraId="6D4D4E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en-US" w:eastAsia="zh-CN"/>
        </w:rPr>
        <w:t>组织实施全县城乡统一的药品、医用耗材、医疗服务项目、医疗服务设施等医保目录和支付标准。</w:t>
      </w:r>
    </w:p>
    <w:p w14:paraId="75BD45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val="en-US" w:eastAsia="zh-CN"/>
        </w:rPr>
        <w:t>制定全县定点医药机构协议和支付管理办法并组织实施，建立健全医疗保障信用评价体系和信息披露制度。</w:t>
      </w:r>
    </w:p>
    <w:p w14:paraId="698A9E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lang w:val="en-US" w:eastAsia="zh-CN"/>
        </w:rPr>
        <w:t>负责全县医疗保障经办管理、公共服务体系和信息化建设，完善统一的城乡居民基本医疗保险制度和大病保险制度，巩固完善城乡居民医救助制度，建立健全覆盖全民城乡统筹的多层次医疗保障体系。</w:t>
      </w:r>
    </w:p>
    <w:p w14:paraId="4E133E60">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14:paraId="1A1E18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02E55D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1、城乡居民医疗保险参保率达95%以上。</w:t>
      </w:r>
    </w:p>
    <w:p w14:paraId="601535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2、保障城镇职工医保、城乡居民医保、医疗救助支出。</w:t>
      </w:r>
    </w:p>
    <w:p w14:paraId="53BCD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3、有序推进药品带量采购、医保支付方式改革。</w:t>
      </w:r>
    </w:p>
    <w:p w14:paraId="6541DD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Times New Roman" w:hAnsi="Times New Roman" w:eastAsia="仿宋_GB2312" w:cs="Times New Roman"/>
          <w:kern w:val="2"/>
          <w:sz w:val="32"/>
          <w:szCs w:val="32"/>
          <w:lang w:val="en-US" w:eastAsia="zh-CN" w:bidi="ar-SA"/>
        </w:rPr>
        <w:t>4、医保基金临管全覆盖，每个医院、药店全年检查一次以上。</w:t>
      </w:r>
    </w:p>
    <w:p w14:paraId="27015272">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14:paraId="24C02AB1">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5455FFB">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1387410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2B481EC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476.35</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476.35</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476.35</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340.4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135.95</w:t>
      </w:r>
      <w:r>
        <w:rPr>
          <w:rFonts w:hint="default" w:ascii="Times New Roman" w:hAnsi="Times New Roman" w:eastAsia="仿宋_GB2312" w:cs="Times New Roman"/>
          <w:sz w:val="32"/>
          <w:szCs w:val="32"/>
          <w:lang w:eastAsia="zh-CN"/>
        </w:rPr>
        <w:t>万元。</w:t>
      </w:r>
    </w:p>
    <w:p w14:paraId="116B272B">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2FF26DD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649.84</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173.49</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649.84</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396.7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61.05</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253.14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38.95</w:t>
      </w:r>
      <w:r>
        <w:rPr>
          <w:rFonts w:hint="default" w:ascii="Times New Roman" w:hAnsi="Times New Roman" w:eastAsia="仿宋_GB2312" w:cs="Times New Roman"/>
          <w:sz w:val="32"/>
          <w:szCs w:val="32"/>
          <w:lang w:eastAsia="zh-CN"/>
        </w:rPr>
        <w:t>％。差异产生的主要原因</w:t>
      </w:r>
      <w:r>
        <w:rPr>
          <w:rFonts w:hint="eastAsia" w:cs="Times New Roman"/>
          <w:sz w:val="32"/>
          <w:szCs w:val="32"/>
          <w:lang w:eastAsia="zh-CN"/>
        </w:rPr>
        <w:t>：</w:t>
      </w:r>
      <w:r>
        <w:rPr>
          <w:rFonts w:hint="eastAsia" w:cs="Times New Roman"/>
          <w:sz w:val="32"/>
          <w:szCs w:val="32"/>
          <w:lang w:val="en-US" w:eastAsia="zh-CN"/>
        </w:rPr>
        <w:t>一是工作人员增加，经费增加，二是医保能力提升资金、市级统筹奖补资金及离退休人员医疗补助未纳入本级部门预算</w:t>
      </w:r>
      <w:r>
        <w:rPr>
          <w:rFonts w:hint="default" w:ascii="Times New Roman" w:hAnsi="Times New Roman" w:eastAsia="仿宋_GB2312" w:cs="Times New Roman"/>
          <w:sz w:val="32"/>
          <w:szCs w:val="32"/>
          <w:lang w:eastAsia="zh-CN"/>
        </w:rPr>
        <w:t>。</w:t>
      </w:r>
    </w:p>
    <w:p w14:paraId="183CF52A">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5D383BA8">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C84FB4D">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2.2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1.87万</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1.87</w:t>
      </w:r>
      <w:r>
        <w:rPr>
          <w:rFonts w:hint="default" w:ascii="Times New Roman" w:hAnsi="Times New Roman" w:eastAsia="仿宋_GB2312" w:cs="Times New Roman"/>
          <w:sz w:val="32"/>
          <w:szCs w:val="32"/>
          <w:lang w:eastAsia="zh-CN"/>
        </w:rPr>
        <w:t>万元。</w:t>
      </w:r>
    </w:p>
    <w:p w14:paraId="72D08F48">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015A00C4">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207F80E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670C878">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14:paraId="55B1E23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56AB8ED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本单位2024年无国有资本经营预算支出</w:t>
      </w:r>
      <w:r>
        <w:rPr>
          <w:rFonts w:hint="eastAsia" w:ascii="Times New Roman" w:hAnsi="Times New Roman" w:eastAsia="仿宋_GB2312" w:cs="Times New Roman"/>
          <w:color w:val="auto"/>
          <w:kern w:val="0"/>
          <w:sz w:val="32"/>
          <w:szCs w:val="32"/>
          <w:lang w:val="en-US" w:eastAsia="zh-CN" w:bidi="ar-SA"/>
        </w:rPr>
        <w:t>。</w:t>
      </w:r>
    </w:p>
    <w:p w14:paraId="38416460">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199C557">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本单位2024年无社会保险基金预算支出</w:t>
      </w:r>
      <w:r>
        <w:rPr>
          <w:rFonts w:hint="eastAsia" w:ascii="Times New Roman" w:hAnsi="Times New Roman" w:eastAsia="仿宋_GB2312" w:cs="Times New Roman"/>
          <w:color w:val="auto"/>
          <w:kern w:val="0"/>
          <w:sz w:val="32"/>
          <w:szCs w:val="32"/>
          <w:lang w:val="en-US" w:eastAsia="zh-CN" w:bidi="ar-SA"/>
        </w:rPr>
        <w:t>。</w:t>
      </w:r>
    </w:p>
    <w:p w14:paraId="70DEF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598E6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7BC59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96</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年部门整体支出绩效目标的金额为</w:t>
      </w:r>
      <w:r>
        <w:rPr>
          <w:rFonts w:hint="eastAsia" w:ascii="仿宋" w:hAnsi="仿宋" w:eastAsia="仿宋"/>
          <w:bCs/>
          <w:sz w:val="32"/>
          <w:szCs w:val="32"/>
          <w:lang w:val="en-US" w:eastAsia="zh-CN"/>
        </w:rPr>
        <w:t>649.84</w:t>
      </w:r>
      <w:r>
        <w:rPr>
          <w:rFonts w:hint="eastAsia" w:ascii="仿宋" w:hAnsi="仿宋" w:eastAsia="仿宋"/>
          <w:bCs/>
          <w:sz w:val="32"/>
          <w:szCs w:val="32"/>
        </w:rPr>
        <w:t>万元，</w:t>
      </w:r>
      <w:r>
        <w:rPr>
          <w:rFonts w:hint="eastAsia" w:ascii="仿宋" w:hAnsi="仿宋" w:eastAsia="仿宋" w:cs="Arial Unicode MS"/>
          <w:sz w:val="32"/>
          <w:szCs w:val="32"/>
        </w:rPr>
        <w:t>其中：基本支出</w:t>
      </w:r>
      <w:r>
        <w:rPr>
          <w:rFonts w:hint="eastAsia" w:ascii="仿宋" w:hAnsi="仿宋" w:eastAsia="仿宋" w:cs="Arial Unicode MS"/>
          <w:sz w:val="32"/>
          <w:szCs w:val="32"/>
          <w:lang w:val="en-US" w:eastAsia="zh-CN"/>
        </w:rPr>
        <w:t>396.7</w:t>
      </w:r>
      <w:r>
        <w:rPr>
          <w:rFonts w:hint="eastAsia" w:ascii="仿宋" w:hAnsi="仿宋" w:eastAsia="仿宋" w:cs="Arial Unicode MS"/>
          <w:sz w:val="32"/>
          <w:szCs w:val="32"/>
        </w:rPr>
        <w:t>万元，项目支出</w:t>
      </w:r>
      <w:r>
        <w:rPr>
          <w:rFonts w:hint="eastAsia" w:ascii="仿宋" w:hAnsi="仿宋" w:eastAsia="仿宋" w:cs="Arial Unicode MS"/>
          <w:sz w:val="32"/>
          <w:szCs w:val="32"/>
          <w:lang w:val="en-US" w:eastAsia="zh-CN"/>
        </w:rPr>
        <w:t>253.14</w:t>
      </w:r>
      <w:r>
        <w:rPr>
          <w:rFonts w:hint="eastAsia" w:ascii="仿宋" w:hAnsi="仿宋" w:eastAsia="仿宋" w:cs="Arial Unicode MS"/>
          <w:sz w:val="32"/>
          <w:szCs w:val="32"/>
        </w:rPr>
        <w:t>万元</w:t>
      </w:r>
      <w:r>
        <w:rPr>
          <w:rFonts w:hint="eastAsia" w:ascii="仿宋" w:hAnsi="仿宋" w:eastAsia="仿宋" w:cs="Arial Unicode MS"/>
          <w:sz w:val="32"/>
          <w:szCs w:val="32"/>
          <w:lang w:eastAsia="zh-CN"/>
        </w:rPr>
        <w:t>，</w:t>
      </w:r>
      <w:r>
        <w:rPr>
          <w:rFonts w:hint="eastAsia" w:ascii="仿宋" w:hAnsi="仿宋" w:eastAsia="仿宋"/>
          <w:bCs/>
          <w:sz w:val="32"/>
          <w:szCs w:val="32"/>
        </w:rPr>
        <w:t>完成了年初制订的绩效工作目标</w:t>
      </w:r>
      <w:r>
        <w:rPr>
          <w:rFonts w:hint="default" w:ascii="仿宋_GB2312" w:eastAsia="仿宋_GB2312" w:cs="仿宋_GB2312"/>
          <w:i w:val="0"/>
          <w:iCs w:val="0"/>
          <w:caps w:val="0"/>
          <w:color w:val="000000"/>
          <w:spacing w:val="0"/>
          <w:sz w:val="32"/>
          <w:szCs w:val="32"/>
          <w:shd w:val="clear" w:fill="FFFFFF"/>
        </w:rPr>
        <w:t>反映自评得分及评价等级。</w:t>
      </w:r>
    </w:p>
    <w:p w14:paraId="6F9DE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60A999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sz w:val="32"/>
          <w:szCs w:val="32"/>
          <w:lang w:val="en-US" w:eastAsia="zh-CN"/>
        </w:rPr>
        <w:t>本</w:t>
      </w:r>
      <w:r>
        <w:rPr>
          <w:rFonts w:hint="eastAsia" w:ascii="仿宋" w:hAnsi="仿宋" w:eastAsia="仿宋"/>
          <w:sz w:val="32"/>
          <w:szCs w:val="32"/>
        </w:rPr>
        <w:t>单位在202</w:t>
      </w:r>
      <w:r>
        <w:rPr>
          <w:rFonts w:hint="eastAsia" w:ascii="仿宋" w:hAnsi="仿宋" w:eastAsia="仿宋"/>
          <w:sz w:val="32"/>
          <w:szCs w:val="32"/>
          <w:lang w:val="en-US" w:eastAsia="zh-CN"/>
        </w:rPr>
        <w:t>4</w:t>
      </w:r>
      <w:r>
        <w:rPr>
          <w:rFonts w:hint="eastAsia" w:ascii="仿宋" w:hAnsi="仿宋" w:eastAsia="仿宋"/>
          <w:sz w:val="32"/>
          <w:szCs w:val="32"/>
        </w:rPr>
        <w:t>年经费使用过程中加强管理，合理安排各项开支，精打细算，确保单位的正常运转，实现了收支平衡，年初设置目标绩效目标值100%完成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r>
        <w:rPr>
          <w:rFonts w:hint="default" w:ascii="Times New Roman" w:hAnsi="Times New Roman" w:eastAsia="楷体_GB2312" w:cs="Times New Roman"/>
          <w:i w:val="0"/>
          <w:iCs w:val="0"/>
          <w:caps w:val="0"/>
          <w:color w:val="000000"/>
          <w:spacing w:val="0"/>
          <w:sz w:val="32"/>
          <w:szCs w:val="32"/>
          <w:shd w:val="clear" w:fill="FFFFFF"/>
        </w:rPr>
        <w:t>总</w:t>
      </w:r>
      <w:r>
        <w:rPr>
          <w:rFonts w:hint="default" w:ascii="仿宋_GB2312" w:eastAsia="仿宋_GB2312" w:cs="仿宋_GB2312"/>
          <w:i w:val="0"/>
          <w:iCs w:val="0"/>
          <w:caps w:val="0"/>
          <w:color w:val="000000"/>
          <w:spacing w:val="0"/>
          <w:sz w:val="32"/>
          <w:szCs w:val="32"/>
          <w:shd w:val="clear" w:fill="FFFFFF"/>
        </w:rPr>
        <w:t>结归纳本部门"四本预算"支出的绩效目标完成情况，实现产出和取得效益的情况。</w:t>
      </w:r>
    </w:p>
    <w:p w14:paraId="67798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3875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Times New Roman" w:hAnsi="Times New Roman" w:eastAsia="仿宋_GB2312" w:cs="Times New Roman"/>
          <w:color w:val="auto"/>
          <w:kern w:val="0"/>
          <w:sz w:val="32"/>
          <w:szCs w:val="32"/>
          <w:lang w:val="en-US" w:eastAsia="zh-CN" w:bidi="ar-SA"/>
        </w:rPr>
      </w:pPr>
      <w:r>
        <w:rPr>
          <w:rFonts w:hint="default" w:ascii="仿宋_GB2312" w:eastAsia="仿宋_GB2312" w:cs="仿宋_GB2312"/>
          <w:i w:val="0"/>
          <w:iCs w:val="0"/>
          <w:caps w:val="0"/>
          <w:color w:val="000000"/>
          <w:spacing w:val="0"/>
          <w:sz w:val="32"/>
          <w:szCs w:val="32"/>
          <w:shd w:val="clear" w:fill="FFFFFF"/>
        </w:rPr>
        <w:t>主要反映各种</w:t>
      </w:r>
      <w:r>
        <w:rPr>
          <w:rFonts w:hint="eastAsia" w:ascii="仿宋_GB2312" w:eastAsia="仿宋_GB2312" w:cs="仿宋_GB2312"/>
          <w:i w:val="0"/>
          <w:iCs w:val="0"/>
          <w:caps w:val="0"/>
          <w:color w:val="000000"/>
          <w:spacing w:val="0"/>
          <w:sz w:val="32"/>
          <w:szCs w:val="32"/>
          <w:shd w:val="clear" w:fill="FFFFFF"/>
        </w:rPr>
        <w:t>预算支出执行偏离绩效目标的情况，</w:t>
      </w:r>
      <w:r>
        <w:rPr>
          <w:rFonts w:hint="default" w:ascii="仿宋_GB2312" w:eastAsia="仿宋_GB2312" w:cs="仿宋_GB2312"/>
          <w:i w:val="0"/>
          <w:iCs w:val="0"/>
          <w:caps w:val="0"/>
          <w:color w:val="000000"/>
          <w:spacing w:val="0"/>
          <w:sz w:val="32"/>
          <w:szCs w:val="32"/>
          <w:shd w:val="clear" w:fill="FFFFFF"/>
        </w:rPr>
        <w:t>并分析其原因</w:t>
      </w:r>
      <w:r>
        <w:rPr>
          <w:rFonts w:hint="eastAsia" w:ascii="Times New Roman" w:hAnsi="Times New Roman" w:eastAsia="仿宋_GB2312" w:cs="Times New Roman"/>
          <w:color w:val="auto"/>
          <w:kern w:val="0"/>
          <w:sz w:val="32"/>
          <w:szCs w:val="32"/>
          <w:lang w:val="en-US" w:eastAsia="zh-CN" w:bidi="ar-SA"/>
        </w:rPr>
        <w:t>（一）医保基金监管存在薄弱环节。</w:t>
      </w:r>
    </w:p>
    <w:p w14:paraId="41619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一是监管工作线长面广。全</w:t>
      </w:r>
      <w:r>
        <w:rPr>
          <w:rFonts w:hint="eastAsia" w:ascii="Times New Roman" w:hAnsi="Times New Roman" w:cs="Times New Roman"/>
          <w:color w:val="auto"/>
          <w:kern w:val="0"/>
          <w:sz w:val="32"/>
          <w:szCs w:val="32"/>
          <w:lang w:val="en-US" w:eastAsia="zh-CN" w:bidi="ar-SA"/>
        </w:rPr>
        <w:t>县</w:t>
      </w:r>
      <w:r>
        <w:rPr>
          <w:rFonts w:hint="eastAsia" w:ascii="Times New Roman" w:hAnsi="Times New Roman" w:eastAsia="仿宋_GB2312" w:cs="Times New Roman"/>
          <w:color w:val="auto"/>
          <w:kern w:val="0"/>
          <w:sz w:val="32"/>
          <w:szCs w:val="32"/>
          <w:lang w:val="en-US" w:eastAsia="zh-CN" w:bidi="ar-SA"/>
        </w:rPr>
        <w:t>医保参保人员</w:t>
      </w:r>
      <w:r>
        <w:rPr>
          <w:rFonts w:hint="eastAsia" w:ascii="Times New Roman" w:hAnsi="Times New Roman" w:cs="Times New Roman"/>
          <w:color w:val="auto"/>
          <w:kern w:val="0"/>
          <w:sz w:val="32"/>
          <w:szCs w:val="32"/>
          <w:lang w:val="en-US" w:eastAsia="zh-CN" w:bidi="ar-SA"/>
        </w:rPr>
        <w:t>2</w:t>
      </w:r>
      <w:r>
        <w:rPr>
          <w:rFonts w:hint="eastAsia" w:ascii="Times New Roman" w:hAnsi="Times New Roman" w:eastAsia="仿宋_GB2312" w:cs="Times New Roman"/>
          <w:color w:val="auto"/>
          <w:kern w:val="0"/>
          <w:sz w:val="32"/>
          <w:szCs w:val="32"/>
          <w:lang w:val="en-US" w:eastAsia="zh-CN" w:bidi="ar-SA"/>
        </w:rPr>
        <w:t>0多万人、协议医疗机构</w:t>
      </w:r>
      <w:r>
        <w:rPr>
          <w:rFonts w:hint="eastAsia" w:ascii="Times New Roman" w:hAnsi="Times New Roman" w:cs="Times New Roman"/>
          <w:color w:val="auto"/>
          <w:kern w:val="0"/>
          <w:sz w:val="32"/>
          <w:szCs w:val="32"/>
          <w:lang w:val="en-US" w:eastAsia="zh-CN" w:bidi="ar-SA"/>
        </w:rPr>
        <w:t>1</w:t>
      </w:r>
      <w:r>
        <w:rPr>
          <w:rFonts w:hint="eastAsia" w:cs="Times New Roman"/>
          <w:color w:val="auto"/>
          <w:kern w:val="0"/>
          <w:sz w:val="32"/>
          <w:szCs w:val="32"/>
          <w:lang w:val="en-US" w:eastAsia="zh-CN" w:bidi="ar-SA"/>
        </w:rPr>
        <w:t>9</w:t>
      </w:r>
      <w:r>
        <w:rPr>
          <w:rFonts w:hint="eastAsia" w:ascii="Times New Roman" w:hAnsi="Times New Roman" w:eastAsia="仿宋_GB2312" w:cs="Times New Roman"/>
          <w:color w:val="auto"/>
          <w:kern w:val="0"/>
          <w:sz w:val="32"/>
          <w:szCs w:val="32"/>
          <w:lang w:val="en-US" w:eastAsia="zh-CN" w:bidi="ar-SA"/>
        </w:rPr>
        <w:t>家，基金年收支规模近</w:t>
      </w:r>
      <w:r>
        <w:rPr>
          <w:rFonts w:hint="eastAsia" w:ascii="Times New Roman" w:hAnsi="Times New Roman"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亿元。涉及面广、风险点多。二是监管手段相对涉后，没有专门的行政执法队伍，调查取证较为困难。增加了医保监管难度，尤以定点零售药店最为突出。</w:t>
      </w:r>
      <w:r>
        <w:rPr>
          <w:rFonts w:hint="eastAsia" w:ascii="Times New Roman" w:hAnsi="Times New Roman" w:cs="Times New Roman"/>
          <w:color w:val="auto"/>
          <w:kern w:val="0"/>
          <w:sz w:val="32"/>
          <w:szCs w:val="32"/>
          <w:lang w:val="en-US" w:eastAsia="zh-CN" w:bidi="ar-SA"/>
        </w:rPr>
        <w:t xml:space="preserve"> </w:t>
      </w:r>
    </w:p>
    <w:p w14:paraId="25B72BC1">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（二）</w:t>
      </w:r>
      <w:r>
        <w:rPr>
          <w:rFonts w:hint="eastAsia" w:ascii="Times New Roman" w:hAnsi="Times New Roman" w:eastAsia="仿宋_GB2312" w:cs="Times New Roman"/>
          <w:color w:val="auto"/>
          <w:kern w:val="0"/>
          <w:sz w:val="32"/>
          <w:szCs w:val="32"/>
          <w:lang w:val="en-US" w:eastAsia="zh-CN" w:bidi="ar-SA"/>
        </w:rPr>
        <w:t>人员力量薄弱，人员队伍有待充实</w:t>
      </w:r>
    </w:p>
    <w:p w14:paraId="54750C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我局及二级机构医保事务中心拥有</w:t>
      </w:r>
      <w:r>
        <w:rPr>
          <w:rFonts w:hint="eastAsia" w:cs="Times New Roman"/>
          <w:color w:val="auto"/>
          <w:kern w:val="0"/>
          <w:sz w:val="32"/>
          <w:szCs w:val="32"/>
          <w:lang w:val="en-US" w:eastAsia="zh-CN" w:bidi="ar-SA"/>
        </w:rPr>
        <w:t>38</w:t>
      </w:r>
      <w:r>
        <w:rPr>
          <w:rFonts w:hint="eastAsia" w:ascii="Times New Roman" w:hAnsi="Times New Roman" w:eastAsia="仿宋_GB2312" w:cs="Times New Roman"/>
          <w:color w:val="auto"/>
          <w:kern w:val="0"/>
          <w:sz w:val="32"/>
          <w:szCs w:val="32"/>
          <w:lang w:val="en-US" w:eastAsia="zh-CN" w:bidi="ar-SA"/>
        </w:rPr>
        <w:t>个编制，在职也只有2</w:t>
      </w:r>
      <w:r>
        <w:rPr>
          <w:rFonts w:hint="eastAsia" w:cs="Times New Roman"/>
          <w:color w:val="auto"/>
          <w:kern w:val="0"/>
          <w:sz w:val="32"/>
          <w:szCs w:val="32"/>
          <w:lang w:val="en-US" w:eastAsia="zh-CN" w:bidi="ar-SA"/>
        </w:rPr>
        <w:t>7</w:t>
      </w:r>
      <w:r>
        <w:rPr>
          <w:rFonts w:hint="eastAsia" w:ascii="Times New Roman" w:hAnsi="Times New Roman" w:eastAsia="仿宋_GB2312" w:cs="Times New Roman"/>
          <w:color w:val="auto"/>
          <w:kern w:val="0"/>
          <w:sz w:val="32"/>
          <w:szCs w:val="32"/>
          <w:lang w:val="en-US" w:eastAsia="zh-CN" w:bidi="ar-SA"/>
        </w:rPr>
        <w:t>人，工作人员</w:t>
      </w:r>
      <w:r>
        <w:rPr>
          <w:rFonts w:hint="eastAsia" w:cs="Times New Roman"/>
          <w:color w:val="auto"/>
          <w:kern w:val="0"/>
          <w:sz w:val="32"/>
          <w:szCs w:val="32"/>
          <w:lang w:val="en-US" w:eastAsia="zh-CN" w:bidi="ar-SA"/>
        </w:rPr>
        <w:t>严重</w:t>
      </w:r>
      <w:r>
        <w:rPr>
          <w:rFonts w:hint="eastAsia" w:ascii="Times New Roman" w:hAnsi="Times New Roman" w:eastAsia="仿宋_GB2312" w:cs="Times New Roman"/>
          <w:color w:val="auto"/>
          <w:kern w:val="0"/>
          <w:sz w:val="32"/>
          <w:szCs w:val="32"/>
          <w:lang w:val="en-US" w:eastAsia="zh-CN" w:bidi="ar-SA"/>
        </w:rPr>
        <w:t>不足。</w:t>
      </w:r>
    </w:p>
    <w:p w14:paraId="6CC0E30B">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4BA71C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14:paraId="6B0131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14:paraId="5E3F19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default" w:ascii="黑体" w:hAnsi="黑体" w:eastAsia="黑体" w:cs="黑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14:paraId="2A0A22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1C0EA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 w:hAnsi="仿宋" w:eastAsia="仿宋" w:cs="仿宋"/>
          <w:i w:val="0"/>
          <w:iCs w:val="0"/>
          <w:caps w:val="0"/>
          <w:color w:val="000000"/>
          <w:spacing w:val="0"/>
          <w:kern w:val="0"/>
          <w:sz w:val="32"/>
          <w:szCs w:val="32"/>
          <w:shd w:val="clear" w:color="auto" w:fill="FFFFFF"/>
          <w:lang w:val="en-US" w:eastAsia="zh-CN" w:bidi="ar"/>
        </w:rPr>
      </w:pPr>
      <w:bookmarkStart w:id="0" w:name="_GoBack"/>
      <w:bookmarkEnd w:id="0"/>
      <w:r>
        <w:rPr>
          <w:rFonts w:hint="eastAsia" w:ascii="仿宋" w:hAnsi="仿宋" w:eastAsia="仿宋" w:cs="仿宋"/>
          <w:i w:val="0"/>
          <w:iCs w:val="0"/>
          <w:caps w:val="0"/>
          <w:color w:val="000000"/>
          <w:spacing w:val="0"/>
          <w:kern w:val="0"/>
          <w:sz w:val="32"/>
          <w:szCs w:val="32"/>
          <w:shd w:val="clear" w:color="auto" w:fill="FFFFFF"/>
          <w:lang w:val="en-US" w:eastAsia="zh-CN" w:bidi="ar"/>
        </w:rPr>
        <w:t>无</w:t>
      </w:r>
    </w:p>
    <w:p w14:paraId="0DF32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2879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7D2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42D8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FE00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1222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A15A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2AB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3C02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88B6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22783F8">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43E83EB5"/>
    <w:multiLevelType w:val="singleLevel"/>
    <w:tmpl w:val="43E83EB5"/>
    <w:lvl w:ilvl="0" w:tentative="0">
      <w:start w:val="2"/>
      <w:numFmt w:val="chineseCounting"/>
      <w:suff w:val="nothing"/>
      <w:lvlText w:val="（%1）"/>
      <w:lvlJc w:val="left"/>
      <w:rPr>
        <w:rFonts w:hint="eastAsia"/>
      </w:rPr>
    </w:lvl>
  </w:abstractNum>
  <w:abstractNum w:abstractNumId="2">
    <w:nsid w:val="6716AA00"/>
    <w:multiLevelType w:val="singleLevel"/>
    <w:tmpl w:val="6716AA0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7D5241D"/>
    <w:rsid w:val="1EA33F65"/>
    <w:rsid w:val="269E5DD8"/>
    <w:rsid w:val="32636C88"/>
    <w:rsid w:val="4B72396B"/>
    <w:rsid w:val="6946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826</Words>
  <Characters>875</Characters>
  <Lines>0</Lines>
  <Paragraphs>0</Paragraphs>
  <TotalTime>0</TotalTime>
  <ScaleCrop>false</ScaleCrop>
  <LinksUpToDate>false</LinksUpToDate>
  <CharactersWithSpaces>883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娜姐</cp:lastModifiedBy>
  <dcterms:modified xsi:type="dcterms:W3CDTF">2025-04-15T05:28:12Z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FFFE8E20C431428CA9B4322E7D936CDD_13</vt:lpwstr>
  </property>
  <property fmtid="{D5CDD505-2E9C-101B-9397-08002B2CF9AE}" pid="4" name="KSOTemplateDocerSaveRecord">
    <vt:lpwstr>eyJoZGlkIjoiNTBlMzk1MzJiZDczMGE0YTJhYzc0NmRlM2YyYmRlNTIiLCJ1c2VySWQiOiI0MzQ2OTE0OTEifQ==</vt:lpwstr>
  </property>
</Properties>
</file>