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中共城步苗族自治县纪律检查委员会部门</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11 </w:t>
      </w:r>
      <w:r>
        <w:rPr>
          <w:rFonts w:hint="eastAsia" w:ascii="仿宋" w:hAnsi="仿宋" w:eastAsia="仿宋" w:cs="仿宋"/>
          <w:sz w:val="40"/>
          <w:szCs w:val="40"/>
        </w:rPr>
        <w:t>日</w:t>
      </w:r>
    </w:p>
    <w:p/>
    <w:p/>
    <w:p/>
    <w:p/>
    <w:p/>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中共城步苗族自治县纪律检查委员会</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default" w:ascii="楷体_GB2312" w:eastAsia="楷体_GB2312" w:cs="楷体_GB2312"/>
          <w:i w:val="0"/>
          <w:iCs w:val="0"/>
          <w:caps w:val="0"/>
          <w:color w:val="000000"/>
          <w:spacing w:val="0"/>
          <w:sz w:val="32"/>
          <w:szCs w:val="32"/>
          <w:shd w:val="clear" w:fill="FFFFFF"/>
        </w:rPr>
        <w:t>（一）机构设置情况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sz w:val="32"/>
          <w:szCs w:val="32"/>
          <w:highlight w:val="none"/>
        </w:rPr>
        <w:t>县纪委监委机关内设机构17个</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其中正科级</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办公室、组织部、党风政风监督室、审理室、信访室、案件监督管理室、第一至第三纪检监察室正职领导职数9名，副职职数9名</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副科级</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第四至第九纪检监察室、纪检监察干部监督室正职领导职数7名，副科级，副职职数7名</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正股级</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宣传部正职领导职数1名。县纪委监委派驻纪检监察组5个，核定行政编制15名，核定组长职数5名（副科级），副组长5名（正股级）。</w:t>
      </w:r>
      <w:r>
        <w:rPr>
          <w:rFonts w:hint="eastAsia" w:ascii="仿宋_GB2312" w:hAnsi="仿宋_GB2312" w:eastAsia="仿宋_GB2312" w:cs="仿宋_GB2312"/>
          <w:sz w:val="32"/>
          <w:szCs w:val="32"/>
        </w:rPr>
        <w:t>县委巡察工作领导小组办公室、县委巡察一组、县委巡察二组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巡察办信息中心，列入县委工作部门序列，设在县纪委，由县纪委管理。同时设有专项整治办等县委县政府常设机构。本委属全额拨款的共产党机关、政治机关，会计核算执行行政单位会计制度，独立核算机构数1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县编办核定本委编制106个（含派驻机构、巡察办组信息中心），其中行政编制92名，后勤编制2名，事业编制12名。202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年底本委（含派驻机构、巡察办组）共有在职人员9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名（行政人员8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名，事业编11名），年末比202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年增加4个行政人员。</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主要</w:t>
      </w:r>
      <w:bookmarkStart w:id="2" w:name="_GoBack"/>
      <w:bookmarkEnd w:id="2"/>
      <w:r>
        <w:rPr>
          <w:rFonts w:hint="default" w:ascii="楷体_GB2312" w:eastAsia="楷体_GB2312" w:cs="楷体_GB2312"/>
          <w:i w:val="0"/>
          <w:iCs w:val="0"/>
          <w:caps w:val="0"/>
          <w:color w:val="000000"/>
          <w:spacing w:val="0"/>
          <w:sz w:val="32"/>
          <w:szCs w:val="32"/>
          <w:shd w:val="clear" w:fill="FFFFFF"/>
        </w:rPr>
        <w:t>职能职责</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sz w:val="32"/>
          <w:szCs w:val="32"/>
        </w:rPr>
        <w:t>维护党的章程和其他党内法规；检查党的路线、方针、政策和决议的执行情况；协助党的委员会推进全面从严治党、加强党风建设；组织协调反腐败工作。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bookmarkStart w:id="0" w:name="OLE_LINK2"/>
      <w:r>
        <w:rPr>
          <w:rFonts w:hint="eastAsia" w:ascii="仿宋_GB2312" w:hAnsi="仿宋_GB2312" w:eastAsia="仿宋_GB2312" w:cs="仿宋_GB2312"/>
          <w:b w:val="0"/>
          <w:bCs w:val="0"/>
          <w:sz w:val="32"/>
          <w:szCs w:val="32"/>
          <w:u w:val="none"/>
          <w:lang w:val="en-US" w:eastAsia="zh-CN"/>
        </w:rPr>
        <w:t>始终坚持以强烈的政治担当推进群众身边不正之风和腐败问题集中整治，切实让群众感受到</w:t>
      </w:r>
      <w:r>
        <w:rPr>
          <w:rFonts w:hint="eastAsia" w:ascii="仿宋_GB2312" w:hAnsi="仿宋_GB2312" w:cs="仿宋_GB2312"/>
          <w:b w:val="0"/>
          <w:bCs w:val="0"/>
          <w:sz w:val="32"/>
          <w:szCs w:val="32"/>
          <w:u w:val="none"/>
          <w:lang w:val="en-US" w:eastAsia="zh-CN"/>
        </w:rPr>
        <w:t>往</w:t>
      </w:r>
      <w:r>
        <w:rPr>
          <w:rFonts w:hint="eastAsia" w:ascii="仿宋_GB2312" w:hAnsi="仿宋_GB2312" w:eastAsia="仿宋_GB2312" w:cs="仿宋_GB2312"/>
          <w:b w:val="0"/>
          <w:bCs w:val="0"/>
          <w:sz w:val="32"/>
          <w:szCs w:val="32"/>
          <w:u w:val="none"/>
          <w:lang w:val="en-US" w:eastAsia="zh-CN"/>
        </w:rPr>
        <w:t>年不一样。始终坚持一体推进“三不腐”，切实深化标本兼治。始终坚持筑牢中央八项规定堤坝，切实纠“四风”树新风。始终坚持全力配合省委巡视、市委提级巡察和抓好常规巡察，切实抓好整改“后半篇”文章。始终坚持深化纪检监察体制机制改革，切实提升队伍凝聚力和战斗力。</w:t>
      </w:r>
      <w:bookmarkEnd w:id="0"/>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8"/>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cs="仿宋_GB2312"/>
          <w:sz w:val="32"/>
          <w:szCs w:val="32"/>
          <w:lang w:eastAsia="zh-CN"/>
        </w:rPr>
        <w:t>年初</w:t>
      </w:r>
      <w:r>
        <w:rPr>
          <w:rFonts w:hint="eastAsia" w:ascii="仿宋_GB2312" w:hAnsi="仿宋_GB2312" w:eastAsia="仿宋_GB2312" w:cs="仿宋_GB2312"/>
          <w:sz w:val="32"/>
          <w:szCs w:val="32"/>
        </w:rPr>
        <w:t>预算</w:t>
      </w:r>
      <w:r>
        <w:rPr>
          <w:rFonts w:hint="eastAsia" w:ascii="仿宋_GB2312" w:hAnsi="仿宋_GB2312" w:cs="仿宋_GB2312"/>
          <w:sz w:val="32"/>
          <w:szCs w:val="32"/>
          <w:lang w:eastAsia="zh-CN"/>
        </w:rPr>
        <w:t>安排</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val="en-US" w:eastAsia="zh-CN"/>
        </w:rPr>
        <w:t>1996.64万元，</w:t>
      </w:r>
      <w:r>
        <w:rPr>
          <w:rFonts w:hint="default" w:ascii="Times New Roman" w:hAnsi="Times New Roman" w:eastAsia="仿宋_GB2312" w:cs="Times New Roman"/>
          <w:sz w:val="32"/>
          <w:szCs w:val="32"/>
          <w:lang w:eastAsia="zh-CN"/>
        </w:rPr>
        <w:t>一般公共财政拨款</w:t>
      </w:r>
      <w:r>
        <w:rPr>
          <w:rFonts w:hint="eastAsia" w:ascii="Times New Roman" w:hAnsi="Times New Roman" w:cs="Times New Roman"/>
          <w:sz w:val="32"/>
          <w:szCs w:val="32"/>
          <w:lang w:val="en-US" w:eastAsia="zh-CN"/>
        </w:rPr>
        <w:t>1996.64</w:t>
      </w:r>
      <w:r>
        <w:rPr>
          <w:rFonts w:hint="default"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ascii="Times New Roman" w:hAnsi="Times New Roman" w:cs="Times New Roman"/>
          <w:sz w:val="32"/>
          <w:szCs w:val="32"/>
          <w:lang w:val="en-US" w:eastAsia="zh-CN"/>
        </w:rPr>
        <w:t>1996.64</w:t>
      </w:r>
      <w:r>
        <w:rPr>
          <w:rFonts w:hint="default" w:ascii="Times New Roman" w:hAnsi="Times New Roman" w:eastAsia="仿宋_GB2312" w:cs="Times New Roman"/>
          <w:sz w:val="32"/>
          <w:szCs w:val="32"/>
          <w:lang w:eastAsia="zh-CN"/>
        </w:rPr>
        <w:t>万元</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ascii="Times New Roman" w:hAnsi="Times New Roman" w:cs="Times New Roman"/>
          <w:sz w:val="32"/>
          <w:szCs w:val="32"/>
          <w:lang w:val="en-US" w:eastAsia="zh-CN"/>
        </w:rPr>
        <w:t>1486.67</w:t>
      </w:r>
      <w:r>
        <w:rPr>
          <w:rFonts w:hint="default" w:ascii="Times New Roman" w:hAnsi="Times New Roman" w:eastAsia="仿宋_GB2312" w:cs="Times New Roman"/>
          <w:sz w:val="32"/>
          <w:szCs w:val="32"/>
          <w:lang w:eastAsia="zh-CN"/>
        </w:rPr>
        <w:t>万元，项目支出</w:t>
      </w:r>
      <w:r>
        <w:rPr>
          <w:rFonts w:hint="eastAsia" w:ascii="Times New Roman" w:hAnsi="Times New Roman" w:cs="Times New Roman"/>
          <w:sz w:val="32"/>
          <w:szCs w:val="32"/>
          <w:lang w:val="en-US" w:eastAsia="zh-CN"/>
        </w:rPr>
        <w:t>509.97</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年收入实际完成</w:t>
      </w:r>
      <w:r>
        <w:rPr>
          <w:rFonts w:hint="eastAsia" w:ascii="仿宋_GB2312" w:hAnsi="仿宋_GB2312" w:eastAsia="仿宋_GB2312" w:cs="仿宋_GB2312"/>
          <w:sz w:val="32"/>
          <w:szCs w:val="32"/>
          <w:lang w:val="en-US" w:eastAsia="zh-CN"/>
        </w:rPr>
        <w:t>2361.42</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lang w:eastAsia="zh-CN"/>
        </w:rPr>
        <w:t>较预算增加</w:t>
      </w:r>
      <w:r>
        <w:rPr>
          <w:rFonts w:hint="eastAsia" w:ascii="Times New Roman" w:hAnsi="Times New Roman" w:cs="Times New Roman"/>
          <w:sz w:val="32"/>
          <w:szCs w:val="32"/>
          <w:lang w:val="en-US" w:eastAsia="zh-CN"/>
        </w:rPr>
        <w:t>364.78</w:t>
      </w:r>
      <w:r>
        <w:rPr>
          <w:rFonts w:hint="default" w:ascii="Times New Roman" w:hAnsi="Times New Roman" w:eastAsia="仿宋_GB2312" w:cs="Times New Roman"/>
          <w:sz w:val="32"/>
          <w:szCs w:val="32"/>
          <w:lang w:eastAsia="zh-CN"/>
        </w:rPr>
        <w:t>万元，总支出</w:t>
      </w:r>
      <w:r>
        <w:rPr>
          <w:rFonts w:hint="eastAsia" w:ascii="Times New Roman" w:hAnsi="Times New Roman" w:cs="Times New Roman"/>
          <w:sz w:val="32"/>
          <w:szCs w:val="32"/>
          <w:lang w:val="en-US" w:eastAsia="zh-CN"/>
        </w:rPr>
        <w:t>2361.42</w:t>
      </w:r>
      <w:r>
        <w:rPr>
          <w:rFonts w:hint="default" w:ascii="Times New Roman" w:hAnsi="Times New Roman" w:eastAsia="仿宋_GB2312" w:cs="Times New Roman"/>
          <w:sz w:val="32"/>
          <w:szCs w:val="32"/>
          <w:lang w:eastAsia="zh-CN"/>
        </w:rPr>
        <w:t>万元，其中：基本支出</w:t>
      </w:r>
      <w:r>
        <w:rPr>
          <w:rFonts w:hint="eastAsia" w:ascii="Times New Roman" w:hAnsi="Times New Roman" w:cs="Times New Roman"/>
          <w:sz w:val="32"/>
          <w:szCs w:val="32"/>
          <w:lang w:val="en-US" w:eastAsia="zh-CN"/>
        </w:rPr>
        <w:t>2103.02</w:t>
      </w:r>
      <w:r>
        <w:rPr>
          <w:rFonts w:hint="default" w:ascii="Times New Roman" w:hAnsi="Times New Roman" w:eastAsia="仿宋_GB2312" w:cs="Times New Roman"/>
          <w:sz w:val="32"/>
          <w:szCs w:val="32"/>
          <w:lang w:eastAsia="zh-CN"/>
        </w:rPr>
        <w:t>万元，占总支出的</w:t>
      </w:r>
      <w:r>
        <w:rPr>
          <w:rFonts w:hint="eastAsia" w:ascii="Times New Roman" w:hAnsi="Times New Roman" w:cs="Times New Roman"/>
          <w:sz w:val="32"/>
          <w:szCs w:val="32"/>
          <w:lang w:val="en-US" w:eastAsia="zh-CN"/>
        </w:rPr>
        <w:t>89.06</w:t>
      </w:r>
      <w:r>
        <w:rPr>
          <w:rFonts w:hint="default" w:ascii="Times New Roman" w:hAnsi="Times New Roman" w:eastAsia="仿宋_GB2312" w:cs="Times New Roman"/>
          <w:sz w:val="32"/>
          <w:szCs w:val="32"/>
          <w:lang w:eastAsia="zh-CN"/>
        </w:rPr>
        <w:t>％；项目支出</w:t>
      </w:r>
      <w:r>
        <w:rPr>
          <w:rFonts w:hint="eastAsia" w:ascii="Times New Roman" w:hAnsi="Times New Roman" w:cs="Times New Roman"/>
          <w:sz w:val="32"/>
          <w:szCs w:val="32"/>
          <w:lang w:val="en-US" w:eastAsia="zh-CN"/>
        </w:rPr>
        <w:t>258.4</w:t>
      </w:r>
      <w:r>
        <w:rPr>
          <w:rFonts w:hint="default" w:ascii="Times New Roman" w:hAnsi="Times New Roman" w:eastAsia="仿宋_GB2312" w:cs="Times New Roman"/>
          <w:sz w:val="32"/>
          <w:szCs w:val="32"/>
          <w:lang w:eastAsia="zh-CN"/>
        </w:rPr>
        <w:t>万元，占总支出的</w:t>
      </w:r>
      <w:r>
        <w:rPr>
          <w:rFonts w:hint="eastAsia" w:ascii="Times New Roman" w:hAnsi="Times New Roman" w:cs="Times New Roman"/>
          <w:sz w:val="32"/>
          <w:szCs w:val="32"/>
          <w:lang w:val="en-US" w:eastAsia="zh-CN"/>
        </w:rPr>
        <w:t>10.94</w:t>
      </w:r>
      <w:r>
        <w:rPr>
          <w:rFonts w:hint="default" w:ascii="Times New Roman" w:hAnsi="Times New Roman" w:eastAsia="仿宋_GB2312" w:cs="Times New Roman"/>
          <w:sz w:val="32"/>
          <w:szCs w:val="32"/>
          <w:lang w:eastAsia="zh-CN"/>
        </w:rPr>
        <w:t>％。差异产生的主要原因是</w:t>
      </w:r>
      <w:r>
        <w:rPr>
          <w:rFonts w:hint="eastAsia" w:ascii="仿宋_GB2312" w:hAnsi="仿宋_GB2312" w:eastAsia="仿宋_GB2312" w:cs="仿宋_GB2312"/>
          <w:sz w:val="32"/>
          <w:szCs w:val="32"/>
          <w:lang w:eastAsia="zh-CN"/>
        </w:rPr>
        <w:t>上年度结转收入增加</w:t>
      </w:r>
      <w:r>
        <w:rPr>
          <w:rFonts w:hint="eastAsia" w:ascii="仿宋_GB2312" w:hAnsi="仿宋_GB2312" w:eastAsia="仿宋_GB2312" w:cs="仿宋_GB2312"/>
          <w:sz w:val="32"/>
          <w:szCs w:val="32"/>
          <w:lang w:val="en-US" w:eastAsia="zh-CN"/>
        </w:rPr>
        <w:t>286.44万元，退休人员绩效奖增加7.98万元，职业年金增加13.1万元，死亡抚恤增加17.47万元，中央转移支付增加15万元，培树点奖励金增加20万元</w:t>
      </w:r>
      <w:r>
        <w:rPr>
          <w:rFonts w:hint="eastAsia" w:ascii="仿宋_GB2312" w:hAnsi="仿宋_GB2312" w:cs="仿宋_GB2312"/>
          <w:sz w:val="32"/>
          <w:szCs w:val="32"/>
          <w:lang w:val="en-US" w:eastAsia="zh-CN"/>
        </w:rPr>
        <w:t>，其他收入增加4.79万元</w:t>
      </w:r>
      <w:r>
        <w:rPr>
          <w:rFonts w:hint="eastAsia" w:ascii="仿宋_GB2312" w:hAnsi="仿宋_GB2312" w:eastAsia="仿宋_GB2312" w:cs="仿宋_GB2312"/>
          <w:sz w:val="32"/>
          <w:szCs w:val="32"/>
          <w:lang w:val="en-US"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17.5</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14.5</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3</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17.22</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14.23</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2.99</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pStyle w:val="4"/>
        <w:keepNext w:val="0"/>
        <w:keepLines w:val="0"/>
        <w:pageBreakBefore w:val="0"/>
        <w:tabs>
          <w:tab w:val="left" w:pos="3864"/>
          <w:tab w:val="left" w:pos="6248"/>
          <w:tab w:val="left" w:pos="7386"/>
        </w:tabs>
        <w:kinsoku/>
        <w:wordWrap/>
        <w:overflowPunct w:val="0"/>
        <w:topLinePunct w:val="0"/>
        <w:autoSpaceDE/>
        <w:autoSpaceDN/>
        <w:bidi w:val="0"/>
        <w:adjustRightInd/>
        <w:spacing w:before="0" w:beforeAutospacing="0" w:after="0" w:afterAutospacing="0" w:line="600" w:lineRule="exact"/>
        <w:ind w:right="420" w:firstLine="640" w:firstLineChars="200"/>
        <w:rPr>
          <w:rFonts w:hint="eastAsia" w:ascii="仿宋_GB2312" w:hAnsi="仿宋_GB2312" w:eastAsia="仿宋_GB2312" w:cs="仿宋_GB2312"/>
          <w:kern w:val="2"/>
          <w:sz w:val="32"/>
          <w:szCs w:val="32"/>
          <w:lang w:val="en-US" w:eastAsia="zh-CN" w:bidi="ar-SA"/>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ascii="Times New Roman" w:hAnsi="Times New Roman" w:cs="Times New Roman"/>
          <w:sz w:val="32"/>
          <w:szCs w:val="32"/>
          <w:lang w:val="en-US" w:eastAsia="zh-CN"/>
        </w:rPr>
        <w:t>283.72</w:t>
      </w:r>
      <w:r>
        <w:rPr>
          <w:rFonts w:hint="default" w:ascii="Times New Roman" w:hAnsi="Times New Roman" w:eastAsia="仿宋_GB2312" w:cs="Times New Roman"/>
          <w:sz w:val="32"/>
          <w:szCs w:val="32"/>
          <w:lang w:eastAsia="zh-CN"/>
        </w:rPr>
        <w:t>万元，其中：货物</w:t>
      </w:r>
      <w:r>
        <w:rPr>
          <w:rFonts w:hint="eastAsia" w:ascii="Times New Roman" w:hAnsi="Times New Roman" w:cs="Times New Roman"/>
          <w:sz w:val="32"/>
          <w:szCs w:val="32"/>
          <w:lang w:val="en-US" w:eastAsia="zh-CN"/>
        </w:rPr>
        <w:t>172.83</w:t>
      </w:r>
      <w:r>
        <w:rPr>
          <w:rFonts w:hint="default" w:ascii="Times New Roman" w:hAnsi="Times New Roman" w:eastAsia="仿宋_GB2312" w:cs="Times New Roman"/>
          <w:sz w:val="32"/>
          <w:szCs w:val="32"/>
          <w:lang w:eastAsia="zh-CN"/>
        </w:rPr>
        <w:t>元，工程</w:t>
      </w:r>
      <w:r>
        <w:rPr>
          <w:rFonts w:hint="eastAsia" w:ascii="Times New Roman" w:hAnsi="Times New Roman"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ascii="Times New Roman" w:hAnsi="Times New Roman" w:cs="Times New Roman"/>
          <w:sz w:val="32"/>
          <w:szCs w:val="32"/>
          <w:lang w:val="en-US" w:eastAsia="zh-CN"/>
        </w:rPr>
        <w:t>110.89</w:t>
      </w:r>
      <w:r>
        <w:rPr>
          <w:rFonts w:hint="default" w:ascii="Times New Roman" w:hAnsi="Times New Roman" w:eastAsia="仿宋_GB2312" w:cs="Times New Roman"/>
          <w:sz w:val="32"/>
          <w:szCs w:val="32"/>
          <w:lang w:eastAsia="zh-CN"/>
        </w:rPr>
        <w:t>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无政府性基金预算支出</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pPr>
        <w:pStyle w:val="5"/>
        <w:widowControl/>
        <w:shd w:val="clear" w:color="auto" w:fill="FFFFFF"/>
        <w:snapToGrid w:val="0"/>
        <w:spacing w:beforeAutospacing="0" w:afterAutospacing="0" w:line="520" w:lineRule="exact"/>
        <w:ind w:firstLine="640" w:firstLineChars="200"/>
        <w:rPr>
          <w:rFonts w:hint="eastAsia" w:ascii="黑体" w:hAnsi="黑体" w:eastAsia="黑体" w:cs="黑体"/>
          <w:i w:val="0"/>
          <w:iCs w:val="0"/>
          <w:caps w:val="0"/>
          <w:color w:val="000000"/>
          <w:spacing w:val="0"/>
          <w:sz w:val="32"/>
          <w:szCs w:val="32"/>
          <w:shd w:val="clear" w:fill="FFFFFF"/>
        </w:rPr>
      </w:pPr>
      <w:r>
        <w:rPr>
          <w:rFonts w:hint="eastAsia"/>
          <w:sz w:val="32"/>
          <w:szCs w:val="32"/>
        </w:rPr>
        <w:t>无国有资本经营预算支出。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pPr>
        <w:pStyle w:val="9"/>
        <w:widowControl/>
        <w:spacing w:line="560" w:lineRule="exact"/>
        <w:ind w:firstLine="640"/>
        <w:jc w:val="left"/>
        <w:rPr>
          <w:rFonts w:hint="eastAsia" w:ascii="黑体" w:hAnsi="黑体" w:eastAsia="黑体" w:cs="黑体"/>
          <w:i w:val="0"/>
          <w:iCs w:val="0"/>
          <w:caps w:val="0"/>
          <w:color w:val="000000"/>
          <w:spacing w:val="0"/>
          <w:sz w:val="32"/>
          <w:szCs w:val="32"/>
          <w:shd w:val="clear" w:fill="FFFFFF"/>
        </w:rPr>
      </w:pPr>
      <w:r>
        <w:rPr>
          <w:rFonts w:hint="eastAsia"/>
          <w:kern w:val="0"/>
          <w:sz w:val="32"/>
          <w:szCs w:val="32"/>
        </w:rPr>
        <w:t>无社会保险基金的资金预算支出</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adjustRightInd w:val="0"/>
        <w:snapToGrid w:val="0"/>
        <w:spacing w:line="500" w:lineRule="exact"/>
        <w:ind w:firstLine="63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年，本单位严格按照省、市县相关考核要求，如期按时按质量完成各项工作指标。</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整体支出绩效自评结果</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１、编制数106个，实际在职人数9</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个，控制率</w:t>
      </w:r>
      <w:r>
        <w:rPr>
          <w:rFonts w:hint="eastAsia" w:ascii="仿宋_GB2312" w:hAnsi="仿宋_GB2312" w:eastAsia="仿宋_GB2312" w:cs="仿宋_GB2312"/>
          <w:color w:val="000000"/>
          <w:sz w:val="32"/>
          <w:szCs w:val="32"/>
          <w:lang w:val="en-US" w:eastAsia="zh-CN"/>
        </w:rPr>
        <w:t>95.45</w:t>
      </w:r>
      <w:r>
        <w:rPr>
          <w:rFonts w:hint="eastAsia" w:ascii="仿宋_GB2312" w:hAnsi="仿宋_GB2312" w:eastAsia="仿宋_GB2312" w:cs="仿宋_GB2312"/>
          <w:color w:val="000000"/>
          <w:sz w:val="32"/>
          <w:szCs w:val="32"/>
        </w:rPr>
        <w:t>%；</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２、全年预算数</w:t>
      </w:r>
      <w:r>
        <w:rPr>
          <w:rFonts w:hint="eastAsia" w:ascii="仿宋_GB2312" w:hAnsi="仿宋_GB2312" w:eastAsia="仿宋_GB2312" w:cs="仿宋_GB2312"/>
          <w:color w:val="000000"/>
          <w:sz w:val="32"/>
          <w:szCs w:val="32"/>
          <w:lang w:val="en-US" w:eastAsia="zh-CN"/>
        </w:rPr>
        <w:t>2361.42</w:t>
      </w:r>
      <w:r>
        <w:rPr>
          <w:rFonts w:hint="eastAsia" w:ascii="仿宋_GB2312" w:hAnsi="仿宋_GB2312" w:eastAsia="仿宋_GB2312" w:cs="仿宋_GB2312"/>
          <w:color w:val="000000"/>
          <w:sz w:val="32"/>
          <w:szCs w:val="32"/>
        </w:rPr>
        <w:t>万元，全年执行数</w:t>
      </w:r>
      <w:r>
        <w:rPr>
          <w:rFonts w:hint="eastAsia" w:ascii="仿宋_GB2312" w:hAnsi="仿宋_GB2312" w:eastAsia="仿宋_GB2312" w:cs="仿宋_GB2312"/>
          <w:color w:val="000000"/>
          <w:sz w:val="32"/>
          <w:szCs w:val="32"/>
          <w:lang w:val="en-US" w:eastAsia="zh-CN"/>
        </w:rPr>
        <w:t>2361.42</w:t>
      </w:r>
      <w:r>
        <w:rPr>
          <w:rFonts w:hint="eastAsia" w:ascii="仿宋_GB2312" w:hAnsi="仿宋_GB2312" w:eastAsia="仿宋_GB2312" w:cs="仿宋_GB2312"/>
          <w:color w:val="000000"/>
          <w:sz w:val="32"/>
          <w:szCs w:val="32"/>
        </w:rPr>
        <w:t>万元，预算执行率100%。</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3、厉行节约保障措施为单位没有单独设食堂，降低外出出差住宿费标准</w:t>
      </w:r>
      <w:r>
        <w:rPr>
          <w:rFonts w:hint="eastAsia" w:ascii="仿宋_GB2312" w:hAnsi="仿宋_GB2312" w:eastAsia="仿宋_GB2312" w:cs="仿宋_GB2312"/>
          <w:color w:val="000000"/>
          <w:sz w:val="32"/>
          <w:szCs w:val="32"/>
          <w:lang w:eastAsia="zh-CN"/>
        </w:rPr>
        <w:t>、交通补助标准</w:t>
      </w:r>
      <w:r>
        <w:rPr>
          <w:rFonts w:hint="eastAsia" w:ascii="仿宋_GB2312" w:hAnsi="仿宋_GB2312" w:eastAsia="仿宋_GB2312" w:cs="仿宋_GB2312"/>
          <w:color w:val="000000"/>
          <w:sz w:val="32"/>
          <w:szCs w:val="32"/>
        </w:rPr>
        <w:t>。</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整体支出绩效自评分为98分</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预算成本控制情况扣</w:t>
      </w:r>
      <w:r>
        <w:rPr>
          <w:rFonts w:hint="eastAsia" w:ascii="仿宋_GB2312" w:hAnsi="仿宋_GB2312" w:eastAsia="仿宋_GB2312" w:cs="仿宋_GB2312"/>
          <w:color w:val="000000"/>
          <w:sz w:val="32"/>
          <w:szCs w:val="32"/>
          <w:lang w:val="en-US" w:eastAsia="zh-CN"/>
        </w:rPr>
        <w:t>2分，主要是公用经费预算314.69万元，决算执行为589.72万元，形成原因是</w:t>
      </w:r>
      <w:r>
        <w:rPr>
          <w:rFonts w:hint="eastAsia" w:ascii="仿宋_GB2312" w:hAnsi="仿宋_GB2312" w:cs="仿宋_GB2312"/>
          <w:color w:val="000000"/>
          <w:sz w:val="32"/>
          <w:szCs w:val="32"/>
          <w:lang w:val="en-US" w:eastAsia="zh-CN"/>
        </w:rPr>
        <w:t>调增了全年预算。</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预决算、绩效评价信息公开</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按照政府信息公开有关规定按时公开相关预决算信息及财务状况信息，按规定内容、时限公开预决算信息，达到公开透明。</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（二）综合评价情况</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color w:val="000000"/>
          <w:sz w:val="32"/>
          <w:szCs w:val="32"/>
          <w:lang w:val="en-US" w:eastAsia="zh-CN"/>
        </w:rPr>
      </w:pPr>
      <w:bookmarkStart w:id="1" w:name="OLE_LINK1"/>
      <w:r>
        <w:rPr>
          <w:rFonts w:hint="eastAsia" w:ascii="仿宋_GB2312" w:hAnsi="仿宋_GB2312" w:eastAsia="仿宋_GB2312" w:cs="仿宋_GB2312"/>
          <w:sz w:val="32"/>
          <w:szCs w:val="32"/>
          <w:lang w:val="en-US" w:eastAsia="zh-CN"/>
        </w:rPr>
        <w:t>2024年我委坚持以习近平新时代中国特色社会主义思想为指导，</w:t>
      </w:r>
      <w:r>
        <w:rPr>
          <w:rFonts w:hint="eastAsia" w:ascii="仿宋_GB2312" w:hAnsi="仿宋_GB2312" w:eastAsia="仿宋_GB2312" w:cs="仿宋_GB2312"/>
          <w:color w:val="000000"/>
          <w:sz w:val="32"/>
          <w:szCs w:val="32"/>
          <w:lang w:eastAsia="zh-CN"/>
        </w:rPr>
        <w:t>全面</w:t>
      </w:r>
      <w:r>
        <w:rPr>
          <w:rFonts w:hint="eastAsia" w:ascii="仿宋_GB2312" w:hAnsi="仿宋_GB2312" w:eastAsia="仿宋_GB2312" w:cs="仿宋_GB2312"/>
          <w:color w:val="000000"/>
          <w:sz w:val="32"/>
          <w:szCs w:val="32"/>
        </w:rPr>
        <w:t>贯彻落实</w:t>
      </w:r>
      <w:r>
        <w:rPr>
          <w:rFonts w:hint="eastAsia" w:ascii="仿宋_GB2312" w:hAnsi="仿宋_GB2312" w:eastAsia="仿宋_GB2312" w:cs="仿宋_GB2312"/>
          <w:color w:val="000000"/>
          <w:sz w:val="32"/>
          <w:szCs w:val="32"/>
          <w:lang w:eastAsia="zh-CN"/>
        </w:rPr>
        <w:t>中央、</w:t>
      </w:r>
      <w:r>
        <w:rPr>
          <w:rFonts w:hint="eastAsia" w:ascii="仿宋_GB2312" w:hAnsi="仿宋_GB2312" w:eastAsia="仿宋_GB2312" w:cs="仿宋_GB2312"/>
          <w:color w:val="000000"/>
          <w:sz w:val="32"/>
          <w:szCs w:val="32"/>
          <w:lang w:val="en-US" w:eastAsia="zh-CN"/>
        </w:rPr>
        <w:t>省、市纪委全会精神和重大决策部署，增强“四个意识”、坚定“四个自信”、做到两个维护，全力推进我县党风廉政建设工作高质量发展。</w:t>
      </w:r>
      <w:bookmarkEnd w:id="1"/>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年度整体支出</w:t>
      </w:r>
      <w:r>
        <w:rPr>
          <w:rFonts w:hint="eastAsia" w:ascii="仿宋_GB2312" w:hAnsi="仿宋_GB2312" w:eastAsia="仿宋_GB2312" w:cs="仿宋_GB2312"/>
          <w:sz w:val="32"/>
          <w:szCs w:val="32"/>
          <w:lang w:val="en-US" w:eastAsia="zh-CN"/>
        </w:rPr>
        <w:t>2361.42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2103.02</w:t>
      </w:r>
      <w:r>
        <w:rPr>
          <w:rFonts w:hint="eastAsia" w:ascii="仿宋_GB2312" w:hAnsi="仿宋_GB2312" w:eastAsia="仿宋_GB2312" w:cs="仿宋_GB2312"/>
          <w:sz w:val="32"/>
          <w:szCs w:val="32"/>
        </w:rPr>
        <w:t>万元（人员支出</w:t>
      </w:r>
      <w:r>
        <w:rPr>
          <w:rFonts w:hint="eastAsia" w:ascii="仿宋_GB2312" w:hAnsi="仿宋_GB2312" w:eastAsia="仿宋_GB2312" w:cs="仿宋_GB2312"/>
          <w:sz w:val="32"/>
          <w:szCs w:val="32"/>
          <w:lang w:val="en-US" w:eastAsia="zh-CN"/>
        </w:rPr>
        <w:t>1513.3</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589.72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258.4</w:t>
      </w:r>
      <w:r>
        <w:rPr>
          <w:rFonts w:hint="eastAsia" w:ascii="仿宋_GB2312" w:hAnsi="仿宋_GB2312" w:eastAsia="仿宋_GB2312" w:cs="仿宋_GB2312"/>
          <w:sz w:val="32"/>
          <w:szCs w:val="32"/>
        </w:rPr>
        <w:t>万元。</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整体支出绩效目标实现情况：</w:t>
      </w:r>
    </w:p>
    <w:p>
      <w:pPr>
        <w:keepNext w:val="0"/>
        <w:keepLines w:val="0"/>
        <w:pageBreakBefore w:val="0"/>
        <w:numPr>
          <w:ilvl w:val="0"/>
          <w:numId w:val="2"/>
        </w:numPr>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始终把集中整治作为纪检监察工作总抓手，向县委常委会专题汇报10次，县纪委常委会上专题传达学习上级有关精神和研究贯彻落实15次，县纪委书记每日跟进调度，班子成员全部下沉一线督导办案，</w:t>
      </w:r>
      <w:r>
        <w:rPr>
          <w:rFonts w:hint="eastAsia" w:ascii="仿宋_GB2312" w:hAnsi="仿宋_GB2312" w:eastAsia="仿宋_GB2312" w:cs="仿宋_GB2312"/>
          <w:spacing w:val="0"/>
          <w:w w:val="100"/>
          <w:sz w:val="32"/>
          <w:szCs w:val="32"/>
          <w:lang w:val="en-US" w:eastAsia="zh-CN"/>
        </w:rPr>
        <w:t>推动职能部门开展自查发现问题255个,全部整改到位,</w:t>
      </w:r>
      <w:r>
        <w:rPr>
          <w:rFonts w:hint="eastAsia" w:ascii="仿宋_GB2312" w:hAnsi="仿宋_GB2312" w:eastAsia="仿宋_GB2312" w:cs="仿宋_GB2312"/>
          <w:sz w:val="32"/>
          <w:szCs w:val="32"/>
          <w:lang w:val="en-US" w:eastAsia="zh-CN"/>
        </w:rPr>
        <w:t>整治办下发《工作提示》《交办函》49份，</w:t>
      </w:r>
      <w:r>
        <w:rPr>
          <w:rFonts w:hint="eastAsia" w:ascii="仿宋_GB2312" w:hAnsi="仿宋_GB2312" w:eastAsia="仿宋_GB2312" w:cs="仿宋_GB2312"/>
          <w:spacing w:val="0"/>
          <w:w w:val="100"/>
          <w:sz w:val="32"/>
          <w:szCs w:val="32"/>
          <w:lang w:val="en-US" w:eastAsia="zh-CN"/>
        </w:rPr>
        <w:t>制发纪检监察建议书20份，</w:t>
      </w:r>
      <w:r>
        <w:rPr>
          <w:rFonts w:hint="eastAsia" w:ascii="仿宋_GB2312" w:hAnsi="仿宋_GB2312" w:eastAsia="仿宋_GB2312" w:cs="仿宋_GB2312"/>
          <w:sz w:val="32"/>
          <w:szCs w:val="32"/>
          <w:lang w:val="en-US" w:eastAsia="zh-CN"/>
        </w:rPr>
        <w:t>发出工作简报13期，超常规推进集中整治工作。</w:t>
      </w:r>
    </w:p>
    <w:p>
      <w:pPr>
        <w:keepNext w:val="0"/>
        <w:keepLines w:val="0"/>
        <w:pageBreakBefore w:val="0"/>
        <w:numPr>
          <w:ilvl w:val="0"/>
          <w:numId w:val="2"/>
        </w:numPr>
        <w:kinsoku/>
        <w:wordWrap/>
        <w:topLinePunct w:val="0"/>
        <w:autoSpaceDE/>
        <w:autoSpaceDN/>
        <w:bidi w:val="0"/>
        <w:adjustRightInd/>
        <w:snapToGrid w:val="0"/>
        <w:spacing w:beforeAutospacing="0" w:afterAutospacing="0"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坚持办案是最有力的监督，对集中整治问题线索快查快处，高效精准处置。共处置问题线索498</w:t>
      </w:r>
      <w:r>
        <w:rPr>
          <w:rFonts w:hint="eastAsia" w:ascii="仿宋_GB2312" w:hAnsi="仿宋_GB2312" w:eastAsia="仿宋_GB2312" w:cs="仿宋_GB2312"/>
          <w:color w:val="auto"/>
          <w:sz w:val="32"/>
          <w:szCs w:val="32"/>
          <w:lang w:val="en-US" w:eastAsia="zh-CN"/>
        </w:rPr>
        <w:t>件，其中4月1日以来新增问题线索445件。查办案件421件，办结410件，办结率97.4%，党纪政务处分410人，移送司法机关6人，追缴资金1632.86万元；其中，查处县管干部93人，留置7人。</w:t>
      </w:r>
    </w:p>
    <w:p>
      <w:pPr>
        <w:keepNext w:val="0"/>
        <w:keepLines w:val="0"/>
        <w:pageBreakBefore w:val="0"/>
        <w:numPr>
          <w:ilvl w:val="0"/>
          <w:numId w:val="2"/>
        </w:numPr>
        <w:kinsoku/>
        <w:wordWrap/>
        <w:topLinePunct w:val="0"/>
        <w:autoSpaceDE/>
        <w:autoSpaceDN/>
        <w:bidi w:val="0"/>
        <w:adjustRightInd/>
        <w:snapToGrid w:val="0"/>
        <w:spacing w:beforeAutospacing="0" w:afterAutospacing="0" w:line="600" w:lineRule="exact"/>
        <w:ind w:left="0" w:leftChars="0" w:firstLine="640" w:firstLineChars="200"/>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b w:val="0"/>
          <w:bCs w:val="0"/>
          <w:color w:val="000000"/>
          <w:spacing w:val="0"/>
          <w:sz w:val="32"/>
          <w:szCs w:val="32"/>
          <w:lang w:val="en-US" w:eastAsia="zh-CN" w:bidi="ar-SA"/>
        </w:rPr>
        <w:t>严格落实15件群众身边具体实事、县级2-3件重点民生实事和“一镇街一实事”，</w:t>
      </w:r>
      <w:r>
        <w:rPr>
          <w:rFonts w:hint="eastAsia" w:ascii="仿宋_GB2312" w:hAnsi="仿宋_GB2312" w:eastAsia="仿宋_GB2312" w:cs="仿宋_GB2312"/>
          <w:spacing w:val="0"/>
          <w:w w:val="100"/>
          <w:kern w:val="2"/>
          <w:sz w:val="32"/>
          <w:szCs w:val="32"/>
          <w:lang w:val="en-US" w:eastAsia="zh-CN" w:bidi="ar-SA"/>
        </w:rPr>
        <w:t>监督推动解决群众“急难愁盼”问题111个，办成典型实事38件。如，县委、县政府以第三届邵阳旅发大会在城步举办为契机，全新打造巫江夜游、民族风情街、玉龙洞景区、南山小镇等重大文旅项目，新增民宿和酒店88家，新增工作岗位1500余个，在今年“十一”期间，吸引游客98.2万人次、增长52.1%，实现旅游综合收入9.6亿元、增长48%。</w:t>
      </w:r>
      <w:r>
        <w:rPr>
          <w:rFonts w:hint="eastAsia" w:ascii="仿宋_GB2312" w:hAnsi="仿宋_GB2312" w:eastAsia="仿宋_GB2312" w:cs="仿宋_GB2312"/>
          <w:spacing w:val="0"/>
          <w:w w:val="100"/>
          <w:sz w:val="32"/>
          <w:szCs w:val="32"/>
          <w:u w:val="none"/>
          <w:lang w:val="en-US" w:eastAsia="zh-CN"/>
        </w:rPr>
        <w:t>推动县林业局</w:t>
      </w:r>
      <w:r>
        <w:rPr>
          <w:rFonts w:hint="eastAsia" w:ascii="仿宋_GB2312" w:hAnsi="仿宋_GB2312" w:eastAsia="仿宋_GB2312" w:cs="仿宋_GB2312"/>
          <w:spacing w:val="0"/>
          <w:w w:val="100"/>
          <w:kern w:val="2"/>
          <w:sz w:val="32"/>
          <w:szCs w:val="32"/>
          <w:lang w:val="en-US" w:eastAsia="zh-CN" w:bidi="ar-SA"/>
        </w:rPr>
        <w:t>购买第一期野生动物制害保险20万元，惠及农户6万余人。</w:t>
      </w:r>
      <w:r>
        <w:rPr>
          <w:rFonts w:hint="eastAsia" w:ascii="仿宋_GB2312" w:hAnsi="仿宋_GB2312" w:eastAsia="仿宋_GB2312" w:cs="仿宋_GB2312"/>
          <w:spacing w:val="0"/>
          <w:w w:val="100"/>
          <w:sz w:val="32"/>
          <w:szCs w:val="32"/>
          <w:u w:val="none"/>
          <w:lang w:val="en-US" w:eastAsia="zh-CN"/>
        </w:rPr>
        <w:t>推动县商务局</w:t>
      </w:r>
      <w:r>
        <w:rPr>
          <w:rFonts w:hint="eastAsia" w:ascii="仿宋_GB2312" w:hAnsi="仿宋_GB2312" w:eastAsia="仿宋_GB2312" w:cs="仿宋_GB2312"/>
          <w:spacing w:val="0"/>
          <w:w w:val="100"/>
          <w:kern w:val="2"/>
          <w:sz w:val="32"/>
          <w:szCs w:val="32"/>
          <w:lang w:val="en-US" w:eastAsia="zh-CN" w:bidi="ar-SA"/>
        </w:rPr>
        <w:t>组织县内企业成功入选“东方甄选湖南专场直播”等，农产品通过电商直播销售额高达1.16亿元，惠及农户1.2万余人。</w:t>
      </w:r>
    </w:p>
    <w:p>
      <w:pPr>
        <w:keepNext w:val="0"/>
        <w:keepLines w:val="0"/>
        <w:pageBreakBefore w:val="0"/>
        <w:numPr>
          <w:ilvl w:val="0"/>
          <w:numId w:val="2"/>
        </w:numPr>
        <w:kinsoku/>
        <w:wordWrap/>
        <w:topLinePunct w:val="0"/>
        <w:autoSpaceDE/>
        <w:autoSpaceDN/>
        <w:bidi w:val="0"/>
        <w:adjustRightInd/>
        <w:snapToGrid w:val="0"/>
        <w:spacing w:beforeAutospacing="0" w:afterAutospacing="0"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一体推进“三不腐”，切实深化标本兼治。2024年立案497件，结案422件，处分396人，其中处分县管干部53人；以第一种形态处理213人，第二种形态365人，第三种形态17人，第四种形态17人，采取留置措施7人，移送司法6人。</w:t>
      </w:r>
    </w:p>
    <w:p>
      <w:pPr>
        <w:keepNext w:val="0"/>
        <w:keepLines w:val="0"/>
        <w:pageBreakBefore w:val="0"/>
        <w:numPr>
          <w:ilvl w:val="0"/>
          <w:numId w:val="2"/>
        </w:numPr>
        <w:kinsoku/>
        <w:wordWrap/>
        <w:topLinePunct w:val="0"/>
        <w:autoSpaceDE/>
        <w:autoSpaceDN/>
        <w:bidi w:val="0"/>
        <w:adjustRightInd/>
        <w:snapToGrid w:val="0"/>
        <w:spacing w:beforeAutospacing="0" w:afterAutospacing="0" w:line="600" w:lineRule="exact"/>
        <w:ind w:left="0" w:leftChars="0" w:firstLine="640" w:firstLineChars="200"/>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z w:val="32"/>
          <w:szCs w:val="32"/>
          <w:lang w:val="en-US" w:eastAsia="zh-CN"/>
        </w:rPr>
        <w:t>深化开展“带着板凳进村”和“惠民行动”治理活动，加大</w:t>
      </w:r>
      <w:r>
        <w:rPr>
          <w:rFonts w:hint="eastAsia" w:ascii="仿宋_GB2312" w:hAnsi="仿宋_GB2312" w:eastAsia="仿宋_GB2312" w:cs="仿宋_GB2312"/>
          <w:b w:val="0"/>
          <w:bCs w:val="0"/>
          <w:spacing w:val="0"/>
          <w:w w:val="100"/>
          <w:sz w:val="32"/>
          <w:szCs w:val="32"/>
          <w:u w:val="none"/>
          <w:lang w:val="en-US" w:eastAsia="zh-CN"/>
        </w:rPr>
        <w:t>信访源头治理，让矛盾化解在萌芽状态。</w:t>
      </w:r>
      <w:r>
        <w:rPr>
          <w:rFonts w:hint="eastAsia" w:ascii="仿宋_GB2312" w:hAnsi="仿宋_GB2312" w:eastAsia="仿宋_GB2312" w:cs="仿宋_GB2312"/>
          <w:spacing w:val="0"/>
          <w:w w:val="100"/>
          <w:kern w:val="2"/>
          <w:sz w:val="32"/>
          <w:szCs w:val="32"/>
          <w:lang w:val="en-US" w:eastAsia="zh-CN" w:bidi="ar-SA"/>
        </w:rPr>
        <w:t>截至12月26日，受理业务内信访举报81件，共办结75件，办结率为92%；其中越级访12件，同比去年减少8件。</w:t>
      </w:r>
    </w:p>
    <w:p>
      <w:pPr>
        <w:keepNext w:val="0"/>
        <w:keepLines w:val="0"/>
        <w:pageBreakBefore w:val="0"/>
        <w:numPr>
          <w:ilvl w:val="0"/>
          <w:numId w:val="0"/>
        </w:numPr>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0"/>
          <w:w w:val="100"/>
          <w:kern w:val="2"/>
          <w:sz w:val="32"/>
          <w:szCs w:val="32"/>
          <w:lang w:val="en-US" w:eastAsia="zh-CN" w:bidi="ar-SA"/>
        </w:rPr>
        <w:t>6.全面开展党性教育。</w:t>
      </w:r>
      <w:r>
        <w:rPr>
          <w:rFonts w:hint="eastAsia" w:ascii="仿宋_GB2312" w:hAnsi="仿宋_GB2312" w:eastAsia="仿宋_GB2312" w:cs="仿宋_GB2312"/>
          <w:sz w:val="32"/>
          <w:szCs w:val="32"/>
          <w:u w:val="none"/>
          <w:lang w:val="en-US" w:eastAsia="zh-CN"/>
        </w:rPr>
        <w:t>组织全县100余名“一把手”和家属开展“好家风·好传承”主题活动；全县5000余名党员干部及其家属观看清廉祁剧《清官李蛮牛》，</w:t>
      </w:r>
      <w:r>
        <w:rPr>
          <w:rFonts w:hint="eastAsia" w:ascii="仿宋_GB2312" w:hAnsi="仿宋_GB2312" w:eastAsia="仿宋_GB2312" w:cs="仿宋_GB2312"/>
          <w:spacing w:val="0"/>
          <w:w w:val="100"/>
          <w:kern w:val="2"/>
          <w:sz w:val="32"/>
          <w:szCs w:val="32"/>
          <w:lang w:val="en-US" w:eastAsia="zh-CN" w:bidi="ar-SA"/>
        </w:rPr>
        <w:t>“一把手”上廉政党课185次，各级纪检监察机关负责人上专题纪律教育课222次。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w w:val="100"/>
          <w:kern w:val="2"/>
          <w:sz w:val="32"/>
          <w:szCs w:val="32"/>
          <w:lang w:val="en-US" w:eastAsia="zh-CN" w:bidi="ar-SA"/>
        </w:rPr>
        <w:t>7.</w:t>
      </w:r>
      <w:r>
        <w:rPr>
          <w:rFonts w:hint="eastAsia" w:ascii="仿宋_GB2312" w:hAnsi="仿宋_GB2312" w:eastAsia="仿宋_GB2312" w:cs="仿宋_GB2312"/>
          <w:sz w:val="32"/>
          <w:szCs w:val="32"/>
          <w:lang w:val="en-US" w:eastAsia="zh-CN"/>
        </w:rPr>
        <w:t>聚焦落实中央八项规定精神、省市委“约法三章”等，</w:t>
      </w:r>
      <w:r>
        <w:rPr>
          <w:rFonts w:hint="eastAsia" w:ascii="仿宋_GB2312" w:hAnsi="仿宋_GB2312" w:eastAsia="仿宋_GB2312" w:cs="仿宋_GB2312"/>
          <w:sz w:val="32"/>
          <w:szCs w:val="32"/>
          <w:u w:val="none"/>
          <w:lang w:val="en-US" w:eastAsia="zh-CN"/>
        </w:rPr>
        <w:t>深化开展交叉监督检查和重要节点专项监督检查20次，联合公安、交警部门开展酒后驾车、打牌赌博集中检查11次，开展县人大、政协“两会”、县纪委全会等重要会议的会风会纪督查19次，共发现问题99个，督促整改到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lang w:val="en-US" w:eastAsia="zh-CN"/>
        </w:rPr>
        <w:t>开展了第五轮暨政法领域专项巡察，发现相关党委（党组）存在问题39个，移交立行立改事项15个。开展了医疗卫生领域专项巡察，已于11月22日撤点。从严从实抓好巡视巡察发现的政府采购和招投标违纪违法等7个方面突出问题的提级整改工作。自查发现问题172个，均已整改到位，整改完成率100%，推动出台制度机制4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spacing w:line="560" w:lineRule="exact"/>
        <w:ind w:firstLine="640" w:firstLineChars="200"/>
        <w:rPr>
          <w:rFonts w:ascii="仿宋" w:eastAsia="仿宋" w:cs="仿宋"/>
          <w:sz w:val="32"/>
          <w:szCs w:val="32"/>
        </w:rPr>
      </w:pPr>
      <w:r>
        <w:rPr>
          <w:rFonts w:hint="eastAsia" w:ascii="仿宋" w:eastAsia="仿宋" w:cs="仿宋"/>
          <w:sz w:val="32"/>
          <w:szCs w:val="32"/>
        </w:rPr>
        <w:t>一是预算编制有待进一步加强，确保预算执行力度。预算编制与实际支出项目存在差异。二是部分业务工作实施进度较缓慢等原因，造成经费指标结转至下年支出。下年度本单位将努力改进相关工作，尽早安排资金支出的计划，推进各项工作实施进度，使用好有关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snapToGrid w:val="0"/>
        <w:spacing w:line="500" w:lineRule="exact"/>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（一）细化预算编制，年初尽量将项目支出纳入财政预算，落实“先有预算，后有支出”的要求。</w:t>
      </w:r>
    </w:p>
    <w:p>
      <w:pPr>
        <w:snapToGrid w:val="0"/>
        <w:spacing w:line="500" w:lineRule="exact"/>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（二）严格财务审核，在预算金额内严格控制支出。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keepNext w:val="0"/>
        <w:keepLines w:val="0"/>
        <w:pageBreakBefore w:val="0"/>
        <w:kinsoku/>
        <w:wordWrap/>
        <w:topLinePunct w:val="0"/>
        <w:autoSpaceDE/>
        <w:autoSpaceDN/>
        <w:bidi w:val="0"/>
        <w:adjustRightInd/>
        <w:snapToGrid w:val="0"/>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年度固定资产年末为</w:t>
      </w:r>
      <w:r>
        <w:rPr>
          <w:rFonts w:hint="eastAsia" w:ascii="仿宋_GB2312" w:hAnsi="仿宋_GB2312" w:eastAsia="仿宋_GB2312" w:cs="仿宋_GB2312"/>
          <w:sz w:val="32"/>
          <w:szCs w:val="32"/>
          <w:lang w:val="en-US" w:eastAsia="zh-CN"/>
        </w:rPr>
        <w:t>379.98万元，</w:t>
      </w:r>
      <w:r>
        <w:rPr>
          <w:rFonts w:hint="eastAsia" w:ascii="仿宋_GB2312" w:hAnsi="仿宋_GB2312" w:eastAsia="仿宋_GB2312" w:cs="仿宋_GB2312"/>
          <w:sz w:val="32"/>
          <w:szCs w:val="32"/>
        </w:rPr>
        <w:t>比年初336.07万元增加了</w:t>
      </w:r>
      <w:r>
        <w:rPr>
          <w:rFonts w:hint="eastAsia" w:ascii="仿宋_GB2312" w:hAnsi="仿宋_GB2312" w:eastAsia="仿宋_GB2312" w:cs="仿宋_GB2312"/>
          <w:sz w:val="32"/>
          <w:szCs w:val="32"/>
          <w:lang w:val="en-US" w:eastAsia="zh-CN"/>
        </w:rPr>
        <w:t>43.91</w:t>
      </w:r>
      <w:r>
        <w:rPr>
          <w:rFonts w:hint="eastAsia" w:ascii="仿宋_GB2312" w:hAnsi="仿宋_GB2312" w:eastAsia="仿宋_GB2312" w:cs="仿宋_GB2312"/>
          <w:sz w:val="32"/>
          <w:szCs w:val="32"/>
        </w:rPr>
        <w:t>万元，主要原因是202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年新增了</w:t>
      </w:r>
      <w:r>
        <w:rPr>
          <w:rFonts w:hint="eastAsia" w:ascii="仿宋_GB2312" w:hAnsi="仿宋_GB2312" w:eastAsia="仿宋_GB2312" w:cs="仿宋_GB2312"/>
          <w:sz w:val="32"/>
          <w:szCs w:val="32"/>
          <w:lang w:eastAsia="zh-CN"/>
        </w:rPr>
        <w:t>安可电脑、</w:t>
      </w:r>
      <w:r>
        <w:rPr>
          <w:rFonts w:hint="eastAsia" w:ascii="仿宋_GB2312" w:hAnsi="仿宋_GB2312" w:eastAsia="仿宋_GB2312" w:cs="仿宋_GB2312"/>
          <w:sz w:val="32"/>
          <w:szCs w:val="32"/>
        </w:rPr>
        <w:t>打印机、密码柜等固定资产，固定资产累计折旧</w:t>
      </w:r>
      <w:r>
        <w:rPr>
          <w:rFonts w:hint="eastAsia" w:ascii="仿宋_GB2312" w:hAnsi="仿宋_GB2312" w:eastAsia="仿宋_GB2312" w:cs="仿宋_GB2312"/>
          <w:sz w:val="32"/>
          <w:szCs w:val="32"/>
          <w:lang w:val="en-US" w:eastAsia="zh-CN"/>
        </w:rPr>
        <w:t>204.08</w:t>
      </w:r>
      <w:r>
        <w:rPr>
          <w:rFonts w:hint="eastAsia" w:ascii="仿宋_GB2312" w:hAnsi="仿宋_GB2312" w:eastAsia="仿宋_GB2312" w:cs="仿宋_GB2312"/>
          <w:sz w:val="32"/>
          <w:szCs w:val="32"/>
        </w:rPr>
        <w:t>万元，固定资产净值年末为</w:t>
      </w:r>
      <w:r>
        <w:rPr>
          <w:rFonts w:hint="eastAsia" w:ascii="仿宋_GB2312" w:hAnsi="仿宋_GB2312" w:eastAsia="仿宋_GB2312" w:cs="仿宋_GB2312"/>
          <w:sz w:val="32"/>
          <w:szCs w:val="32"/>
          <w:lang w:val="en-US" w:eastAsia="zh-CN"/>
        </w:rPr>
        <w:t>175.9</w:t>
      </w:r>
      <w:r>
        <w:rPr>
          <w:rFonts w:hint="eastAsia" w:ascii="仿宋_GB2312" w:hAnsi="仿宋_GB2312" w:eastAsia="仿宋_GB2312" w:cs="仿宋_GB2312"/>
          <w:sz w:val="32"/>
          <w:szCs w:val="32"/>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6C4D"/>
    <w:multiLevelType w:val="singleLevel"/>
    <w:tmpl w:val="10346C4D"/>
    <w:lvl w:ilvl="0" w:tentative="0">
      <w:start w:val="3"/>
      <w:numFmt w:val="chineseCounting"/>
      <w:suff w:val="nothing"/>
      <w:lvlText w:val="（%1）"/>
      <w:lvlJc w:val="left"/>
      <w:rPr>
        <w:rFonts w:hint="eastAsia"/>
      </w:rPr>
    </w:lvl>
  </w:abstractNum>
  <w:abstractNum w:abstractNumId="1">
    <w:nsid w:val="15BBE771"/>
    <w:multiLevelType w:val="singleLevel"/>
    <w:tmpl w:val="15BBE77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09005A82"/>
    <w:rsid w:val="11793454"/>
    <w:rsid w:val="13BA1895"/>
    <w:rsid w:val="1EA33F65"/>
    <w:rsid w:val="24480F02"/>
    <w:rsid w:val="269E5DD8"/>
    <w:rsid w:val="32636C88"/>
    <w:rsid w:val="3E8275EF"/>
    <w:rsid w:val="429B6FEE"/>
    <w:rsid w:val="463C686A"/>
    <w:rsid w:val="4B72396B"/>
    <w:rsid w:val="57DF6CA5"/>
    <w:rsid w:val="60AA1A9F"/>
    <w:rsid w:val="67C62B3B"/>
    <w:rsid w:val="75935988"/>
    <w:rsid w:val="76671B33"/>
    <w:rsid w:val="76D7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99"/>
    <w:pPr>
      <w:ind w:firstLine="420" w:firstLineChars="200"/>
    </w:pPr>
    <w:rPr>
      <w:rFonts w:ascii="Times New Roman" w:hAnsi="Times New Roman"/>
      <w:szCs w:val="24"/>
    </w:rPr>
  </w:style>
  <w:style w:type="paragraph" w:customStyle="1" w:styleId="9">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13</TotalTime>
  <ScaleCrop>false</ScaleCrop>
  <LinksUpToDate>false</LinksUpToDate>
  <CharactersWithSpaces>271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cp:lastPrinted>2025-04-14T08:35:00Z</cp:lastPrinted>
  <dcterms:modified xsi:type="dcterms:W3CDTF">2025-04-15T08:45:56Z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D1BA0F076F3F45F5A4EC113A94463AE6_12</vt:lpwstr>
  </property>
</Properties>
</file>