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A91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t>附件1</w:t>
      </w:r>
    </w:p>
    <w:p w14:paraId="26BB5283">
      <w:pPr>
        <w:spacing w:line="600" w:lineRule="exact"/>
        <w:rPr>
          <w:rFonts w:ascii="Times New Roman" w:hAnsi="Times New Roman" w:eastAsia="黑体" w:cs="Times New Roman"/>
          <w:sz w:val="32"/>
          <w:szCs w:val="32"/>
        </w:rPr>
      </w:pPr>
    </w:p>
    <w:p w14:paraId="1E371F98">
      <w:pPr>
        <w:spacing w:line="600" w:lineRule="exact"/>
        <w:rPr>
          <w:rFonts w:ascii="Times New Roman" w:hAnsi="Times New Roman" w:eastAsia="黑体" w:cs="Times New Roman"/>
          <w:sz w:val="32"/>
          <w:szCs w:val="32"/>
        </w:rPr>
      </w:pPr>
    </w:p>
    <w:p w14:paraId="7E415B04">
      <w:pPr>
        <w:jc w:val="center"/>
        <w:rPr>
          <w:rFonts w:ascii="Times New Roman" w:hAnsi="Times New Roman" w:eastAsia="方正小标宋_GBK" w:cs="Times New Roman"/>
          <w:sz w:val="52"/>
          <w:szCs w:val="52"/>
        </w:rPr>
      </w:pPr>
      <w:r>
        <w:rPr>
          <w:rFonts w:hint="eastAsia" w:eastAsia="方正小标宋_GBK" w:cs="Times New Roman"/>
          <w:sz w:val="52"/>
          <w:szCs w:val="52"/>
          <w:lang w:eastAsia="zh-CN"/>
        </w:rPr>
        <w:t>2024</w:t>
      </w:r>
      <w:r>
        <w:rPr>
          <w:rFonts w:ascii="Times New Roman" w:hAnsi="Times New Roman" w:eastAsia="方正小标宋_GBK" w:cs="Times New Roman"/>
          <w:sz w:val="52"/>
          <w:szCs w:val="52"/>
        </w:rPr>
        <w:t>年度</w:t>
      </w:r>
      <w:r>
        <w:rPr>
          <w:rFonts w:hint="eastAsia" w:eastAsia="方正小标宋_GBK" w:cs="Times New Roman"/>
          <w:sz w:val="52"/>
          <w:szCs w:val="52"/>
          <w:lang w:eastAsia="zh-CN"/>
        </w:rPr>
        <w:t>乡村振兴局部门</w:t>
      </w:r>
      <w:r>
        <w:rPr>
          <w:rFonts w:ascii="Times New Roman" w:hAnsi="Times New Roman" w:eastAsia="方正小标宋_GBK" w:cs="Times New Roman"/>
          <w:sz w:val="52"/>
          <w:szCs w:val="52"/>
        </w:rPr>
        <w:t>整体支出</w:t>
      </w:r>
    </w:p>
    <w:p w14:paraId="1D9312B7">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绩效自评报告</w:t>
      </w:r>
    </w:p>
    <w:p w14:paraId="516D94BD">
      <w:pPr>
        <w:jc w:val="center"/>
        <w:rPr>
          <w:rFonts w:ascii="Times New Roman" w:hAnsi="Times New Roman" w:eastAsia="方正小标宋_GBK" w:cs="Times New Roman"/>
          <w:b/>
          <w:sz w:val="52"/>
          <w:szCs w:val="52"/>
        </w:rPr>
      </w:pPr>
    </w:p>
    <w:p w14:paraId="0149C1DA">
      <w:pPr>
        <w:jc w:val="center"/>
        <w:rPr>
          <w:rFonts w:ascii="Times New Roman" w:hAnsi="Times New Roman" w:eastAsia="黑体" w:cs="Times New Roman"/>
          <w:sz w:val="32"/>
          <w:szCs w:val="32"/>
        </w:rPr>
      </w:pPr>
    </w:p>
    <w:p w14:paraId="208EEB07">
      <w:pPr>
        <w:jc w:val="center"/>
        <w:rPr>
          <w:rFonts w:ascii="Times New Roman" w:hAnsi="Times New Roman" w:eastAsia="黑体" w:cs="Times New Roman"/>
          <w:sz w:val="32"/>
          <w:szCs w:val="32"/>
        </w:rPr>
      </w:pPr>
    </w:p>
    <w:p w14:paraId="4FD8756D">
      <w:pPr>
        <w:jc w:val="center"/>
        <w:rPr>
          <w:rFonts w:ascii="Times New Roman" w:hAnsi="Times New Roman" w:eastAsia="黑体" w:cs="Times New Roman"/>
          <w:sz w:val="32"/>
          <w:szCs w:val="32"/>
        </w:rPr>
      </w:pPr>
    </w:p>
    <w:p w14:paraId="35186A20">
      <w:pPr>
        <w:jc w:val="center"/>
        <w:rPr>
          <w:rFonts w:ascii="Times New Roman" w:hAnsi="Times New Roman" w:eastAsia="黑体" w:cs="Times New Roman"/>
          <w:sz w:val="32"/>
          <w:szCs w:val="32"/>
        </w:rPr>
      </w:pPr>
    </w:p>
    <w:p w14:paraId="634AF9EF">
      <w:pPr>
        <w:jc w:val="center"/>
        <w:rPr>
          <w:rFonts w:ascii="Times New Roman" w:hAnsi="Times New Roman" w:eastAsia="黑体" w:cs="Times New Roman"/>
          <w:sz w:val="32"/>
          <w:szCs w:val="32"/>
        </w:rPr>
      </w:pPr>
    </w:p>
    <w:p w14:paraId="5808CBA9">
      <w:pPr>
        <w:jc w:val="center"/>
        <w:rPr>
          <w:rFonts w:ascii="Times New Roman" w:hAnsi="Times New Roman" w:eastAsia="黑体" w:cs="Times New Roman"/>
          <w:sz w:val="32"/>
          <w:szCs w:val="32"/>
        </w:rPr>
      </w:pPr>
    </w:p>
    <w:p w14:paraId="262BE559">
      <w:pPr>
        <w:jc w:val="center"/>
        <w:rPr>
          <w:rFonts w:ascii="Times New Roman" w:hAnsi="Times New Roman" w:eastAsia="黑体" w:cs="Times New Roman"/>
          <w:sz w:val="32"/>
          <w:szCs w:val="32"/>
        </w:rPr>
      </w:pPr>
    </w:p>
    <w:p w14:paraId="56077243">
      <w:pPr>
        <w:spacing w:line="600" w:lineRule="exact"/>
        <w:ind w:firstLine="2400" w:firstLineChars="600"/>
        <w:jc w:val="both"/>
        <w:rPr>
          <w:rFonts w:hint="default" w:ascii="仿宋" w:hAnsi="仿宋" w:eastAsia="仿宋" w:cs="仿宋"/>
          <w:sz w:val="40"/>
          <w:szCs w:val="40"/>
          <w:u w:val="single"/>
          <w:lang w:val="en-US" w:eastAsia="zh-CN"/>
        </w:rPr>
      </w:pPr>
      <w:r>
        <w:rPr>
          <w:rFonts w:hint="eastAsia" w:ascii="仿宋" w:hAnsi="仿宋" w:eastAsia="仿宋" w:cs="仿宋"/>
          <w:sz w:val="40"/>
          <w:szCs w:val="40"/>
        </w:rPr>
        <w:t>单位名称：</w:t>
      </w:r>
      <w:r>
        <w:rPr>
          <w:rFonts w:hint="eastAsia" w:ascii="仿宋" w:hAnsi="仿宋" w:eastAsia="仿宋" w:cs="仿宋"/>
          <w:sz w:val="40"/>
          <w:szCs w:val="40"/>
          <w:u w:val="single"/>
          <w:lang w:eastAsia="zh-CN"/>
        </w:rPr>
        <w:t>（盖章）</w:t>
      </w:r>
      <w:r>
        <w:rPr>
          <w:rFonts w:hint="eastAsia" w:ascii="仿宋" w:hAnsi="仿宋" w:eastAsia="仿宋" w:cs="仿宋"/>
          <w:sz w:val="40"/>
          <w:szCs w:val="40"/>
          <w:u w:val="single"/>
          <w:lang w:val="en-US" w:eastAsia="zh-CN"/>
        </w:rPr>
        <w:t xml:space="preserve">    </w:t>
      </w:r>
    </w:p>
    <w:p w14:paraId="12002605">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2025</w:t>
      </w:r>
      <w:r>
        <w:rPr>
          <w:rFonts w:hint="eastAsia" w:ascii="仿宋" w:hAnsi="仿宋" w:eastAsia="仿宋" w:cs="仿宋"/>
          <w:sz w:val="40"/>
          <w:szCs w:val="40"/>
        </w:rPr>
        <w:t>年</w:t>
      </w:r>
      <w:r>
        <w:rPr>
          <w:rFonts w:hint="eastAsia" w:ascii="仿宋" w:hAnsi="仿宋" w:eastAsia="仿宋" w:cs="仿宋"/>
          <w:sz w:val="40"/>
          <w:szCs w:val="40"/>
          <w:lang w:val="en-US" w:eastAsia="zh-CN"/>
        </w:rPr>
        <w:t xml:space="preserve"> 5 </w:t>
      </w:r>
      <w:r>
        <w:rPr>
          <w:rFonts w:hint="eastAsia" w:ascii="仿宋" w:hAnsi="仿宋" w:eastAsia="仿宋" w:cs="仿宋"/>
          <w:sz w:val="40"/>
          <w:szCs w:val="40"/>
        </w:rPr>
        <w:t>月</w:t>
      </w:r>
      <w:r>
        <w:rPr>
          <w:rFonts w:hint="eastAsia" w:ascii="仿宋" w:hAnsi="仿宋" w:eastAsia="仿宋" w:cs="仿宋"/>
          <w:sz w:val="40"/>
          <w:szCs w:val="40"/>
          <w:lang w:val="en-US" w:eastAsia="zh-CN"/>
        </w:rPr>
        <w:t>31</w:t>
      </w:r>
      <w:r>
        <w:rPr>
          <w:rFonts w:hint="eastAsia" w:ascii="仿宋" w:hAnsi="仿宋" w:eastAsia="仿宋" w:cs="仿宋"/>
          <w:sz w:val="40"/>
          <w:szCs w:val="40"/>
        </w:rPr>
        <w:t>日</w:t>
      </w:r>
    </w:p>
    <w:p w14:paraId="55F82592"/>
    <w:p w14:paraId="74E90CCC"/>
    <w:p w14:paraId="7D7DAE31"/>
    <w:p w14:paraId="437B09B9"/>
    <w:p w14:paraId="5AF8A026"/>
    <w:p w14:paraId="206247D4"/>
    <w:p w14:paraId="6BF0675A"/>
    <w:p w14:paraId="7962D3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64FDA3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lang w:eastAsia="zh-CN"/>
        </w:rPr>
        <w:t>2024</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ascii="方正小标宋_GBK" w:hAnsi="方正小标宋_GBK" w:eastAsia="方正小标宋_GBK" w:cs="方正小标宋_GBK"/>
          <w:i w:val="0"/>
          <w:iCs w:val="0"/>
          <w:caps w:val="0"/>
          <w:color w:val="000000"/>
          <w:spacing w:val="0"/>
          <w:sz w:val="44"/>
          <w:szCs w:val="44"/>
          <w:shd w:val="clear" w:fill="FFFFFF"/>
          <w:lang w:eastAsia="zh-CN"/>
        </w:rPr>
        <w:t>乡村振兴局</w:t>
      </w: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14:paraId="4123C0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24"/>
          <w:szCs w:val="24"/>
        </w:rPr>
      </w:pPr>
      <w:r>
        <w:rPr>
          <w:rFonts w:hint="eastAsia" w:ascii="方正小标宋_GBK" w:hAnsi="方正小标宋_GBK" w:eastAsia="方正小标宋_GBK" w:cs="方正小标宋_GBK"/>
          <w:i w:val="0"/>
          <w:iCs w:val="0"/>
          <w:caps w:val="0"/>
          <w:color w:val="000000"/>
          <w:spacing w:val="0"/>
          <w:sz w:val="24"/>
          <w:szCs w:val="24"/>
          <w:shd w:val="clear" w:fill="FFFFFF"/>
        </w:rPr>
        <w:t>（参考提纲）</w:t>
      </w:r>
    </w:p>
    <w:p w14:paraId="0AC460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5F021C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一、部门、单位基本情况</w:t>
      </w:r>
    </w:p>
    <w:p w14:paraId="702CE2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（一）机构设置情况</w:t>
      </w:r>
    </w:p>
    <w:p w14:paraId="3CC43A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color w:val="000000"/>
          <w:sz w:val="32"/>
          <w:szCs w:val="32"/>
          <w:shd w:val="clear" w:fill="FFFFFF"/>
          <w:lang w:val="en-US" w:eastAsia="zh-CN" w:bidi="ar"/>
        </w:rPr>
        <w:t>城步苗族自治县乡村振兴局为全额财政拨款的县级部门一级预算单位，局机关设综合股、规划指导股、社会扶贫股、贫困监测股、教育培训股、5个股室。城步苗族自治县乡村振兴局没有独立核算的二级机构。</w:t>
      </w:r>
    </w:p>
    <w:p w14:paraId="74C69F40">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人员编制情况</w:t>
      </w:r>
    </w:p>
    <w:p w14:paraId="40979A45">
      <w:pPr>
        <w:keepNext w:val="0"/>
        <w:keepLines w:val="0"/>
        <w:widowControl/>
        <w:suppressLineNumbers w:val="0"/>
        <w:shd w:val="clear" w:fill="FFFFFF"/>
        <w:spacing w:before="100" w:beforeAutospacing="0" w:after="100" w:afterAutospacing="0" w:line="460" w:lineRule="atLeast"/>
        <w:ind w:left="0" w:right="0" w:firstLine="640"/>
        <w:jc w:val="left"/>
        <w:rPr>
          <w:rFonts w:hint="eastAsia" w:ascii="仿宋" w:hAnsi="仿宋" w:eastAsia="仿宋" w:cs="仿宋"/>
          <w:color w:val="333333"/>
          <w:szCs w:val="21"/>
          <w:shd w:val="clear" w:fill="FFFFFF"/>
          <w:lang w:val="en-US"/>
        </w:rPr>
      </w:pPr>
      <w:r>
        <w:rPr>
          <w:rFonts w:hint="eastAsia" w:ascii="仿宋" w:hAnsi="仿宋" w:eastAsia="仿宋" w:cs="仿宋"/>
          <w:color w:val="000000"/>
          <w:kern w:val="0"/>
          <w:sz w:val="32"/>
          <w:szCs w:val="32"/>
          <w:shd w:val="clear" w:fill="FFFFFF"/>
          <w:lang w:val="en-US" w:eastAsia="zh-CN" w:bidi="ar"/>
        </w:rPr>
        <w:t>总编制数20人，实际在职人数16人。退休人员12人。</w:t>
      </w:r>
    </w:p>
    <w:p w14:paraId="6147DE5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仿宋" w:hAnsi="仿宋" w:eastAsia="仿宋" w:cs="仿宋"/>
          <w:i w:val="0"/>
          <w:iCs w:val="0"/>
          <w:caps w:val="0"/>
          <w:color w:val="000000"/>
          <w:spacing w:val="0"/>
          <w:sz w:val="32"/>
          <w:szCs w:val="32"/>
          <w:shd w:val="clear" w:fill="FFFFFF"/>
        </w:rPr>
      </w:pPr>
    </w:p>
    <w:p w14:paraId="0085C741">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主要职能职责</w:t>
      </w:r>
    </w:p>
    <w:p w14:paraId="3E2D3A82">
      <w:pPr>
        <w:keepNext w:val="0"/>
        <w:keepLines w:val="0"/>
        <w:widowControl/>
        <w:suppressLineNumbers w:val="0"/>
        <w:shd w:val="clear" w:fill="FFFFFF"/>
        <w:spacing w:before="100" w:beforeAutospacing="0" w:after="100" w:afterAutospacing="0"/>
        <w:ind w:left="0" w:right="0" w:firstLine="640"/>
        <w:jc w:val="left"/>
        <w:rPr>
          <w:rFonts w:hint="eastAsia" w:ascii="仿宋" w:hAnsi="仿宋" w:eastAsia="仿宋" w:cs="仿宋"/>
          <w:color w:val="333333"/>
          <w:kern w:val="0"/>
          <w:sz w:val="32"/>
          <w:szCs w:val="32"/>
          <w:shd w:val="clear" w:fill="FFFFFF"/>
          <w:lang w:val="en-US" w:eastAsia="zh-CN" w:bidi="ar"/>
        </w:rPr>
      </w:pPr>
      <w:r>
        <w:rPr>
          <w:rFonts w:hint="eastAsia" w:ascii="仿宋" w:hAnsi="仿宋" w:eastAsia="仿宋" w:cs="仿宋"/>
          <w:color w:val="333333"/>
          <w:kern w:val="0"/>
          <w:sz w:val="32"/>
          <w:szCs w:val="32"/>
          <w:shd w:val="clear" w:fill="FFFFFF"/>
          <w:lang w:val="en-US" w:eastAsia="zh-CN" w:bidi="ar"/>
        </w:rPr>
        <w:t>1、牵头落实防止返贫监测和帮扶机制，确保脱贫的县在脱贫之日起设立的5年过渡期内保持现有主要帮扶政策总体稳定，并逐项分类优化调整。</w:t>
      </w:r>
    </w:p>
    <w:p w14:paraId="33300FD8">
      <w:pPr>
        <w:keepNext w:val="0"/>
        <w:keepLines w:val="0"/>
        <w:widowControl/>
        <w:suppressLineNumbers w:val="0"/>
        <w:shd w:val="clear" w:fill="FFFFFF"/>
        <w:spacing w:before="100" w:beforeAutospacing="0" w:after="100" w:afterAutospacing="0"/>
        <w:ind w:left="0" w:right="0" w:firstLine="640"/>
        <w:jc w:val="left"/>
        <w:rPr>
          <w:rFonts w:hint="eastAsia" w:ascii="仿宋" w:hAnsi="仿宋" w:eastAsia="仿宋" w:cs="仿宋"/>
          <w:color w:val="333333"/>
          <w:kern w:val="0"/>
          <w:sz w:val="32"/>
          <w:szCs w:val="32"/>
          <w:shd w:val="clear" w:fill="FFFFFF"/>
          <w:lang w:val="en-US" w:eastAsia="zh-CN" w:bidi="ar"/>
        </w:rPr>
      </w:pPr>
      <w:r>
        <w:rPr>
          <w:rFonts w:hint="eastAsia" w:ascii="仿宋" w:hAnsi="仿宋" w:eastAsia="仿宋" w:cs="仿宋"/>
          <w:color w:val="333333"/>
          <w:kern w:val="0"/>
          <w:sz w:val="32"/>
          <w:szCs w:val="32"/>
          <w:shd w:val="clear" w:fill="FFFFFF"/>
          <w:lang w:val="en-US" w:eastAsia="zh-CN" w:bidi="ar"/>
        </w:rPr>
        <w:t>2、巩固拓展脱贫攻坚成果，统筹推进实施乡村振兴战略有关具体工作。</w:t>
      </w:r>
    </w:p>
    <w:p w14:paraId="430545EA">
      <w:pPr>
        <w:keepNext w:val="0"/>
        <w:keepLines w:val="0"/>
        <w:widowControl/>
        <w:suppressLineNumbers w:val="0"/>
        <w:shd w:val="clear" w:fill="FFFFFF"/>
        <w:spacing w:before="100" w:beforeAutospacing="0" w:after="100" w:afterAutospacing="0"/>
        <w:ind w:left="0" w:right="0" w:firstLine="640"/>
        <w:jc w:val="left"/>
        <w:rPr>
          <w:rFonts w:hint="eastAsia" w:ascii="仿宋" w:hAnsi="仿宋" w:eastAsia="仿宋" w:cs="仿宋"/>
          <w:color w:val="333333"/>
          <w:kern w:val="0"/>
          <w:sz w:val="32"/>
          <w:szCs w:val="32"/>
          <w:shd w:val="clear" w:fill="FFFFFF"/>
          <w:lang w:val="en-US" w:eastAsia="zh-CN" w:bidi="ar"/>
        </w:rPr>
      </w:pPr>
      <w:r>
        <w:rPr>
          <w:rFonts w:hint="eastAsia" w:ascii="仿宋" w:hAnsi="仿宋" w:eastAsia="仿宋" w:cs="仿宋"/>
          <w:color w:val="333333"/>
          <w:kern w:val="0"/>
          <w:sz w:val="32"/>
          <w:szCs w:val="32"/>
          <w:shd w:val="clear" w:fill="FFFFFF"/>
          <w:lang w:val="en-US" w:eastAsia="zh-CN" w:bidi="ar"/>
        </w:rPr>
        <w:t>3、贯彻执行有关巩固拓展脱贫攻坚成果同乡村振兴有效衔接工作的方针、政策，负责全县巩固拓展脱贫攻坚成果同乡村振兴有效衔接开发工作的统筹、协调和督促检查工作。3</w:t>
      </w:r>
    </w:p>
    <w:p w14:paraId="5F9EE672">
      <w:pPr>
        <w:keepNext w:val="0"/>
        <w:keepLines w:val="0"/>
        <w:widowControl/>
        <w:suppressLineNumbers w:val="0"/>
        <w:shd w:val="clear" w:fill="FFFFFF"/>
        <w:spacing w:before="100" w:beforeAutospacing="0" w:after="100" w:afterAutospacing="0"/>
        <w:ind w:left="0" w:right="0" w:firstLine="640"/>
        <w:jc w:val="left"/>
        <w:rPr>
          <w:rFonts w:hint="eastAsia" w:ascii="仿宋" w:hAnsi="仿宋" w:eastAsia="仿宋" w:cs="仿宋"/>
          <w:color w:val="333333"/>
          <w:kern w:val="0"/>
          <w:sz w:val="32"/>
          <w:szCs w:val="32"/>
          <w:shd w:val="clear" w:fill="FFFFFF"/>
          <w:lang w:val="en-US" w:eastAsia="zh-CN" w:bidi="ar"/>
        </w:rPr>
      </w:pPr>
      <w:r>
        <w:rPr>
          <w:rFonts w:hint="eastAsia" w:ascii="仿宋" w:hAnsi="仿宋" w:eastAsia="仿宋" w:cs="仿宋"/>
          <w:color w:val="333333"/>
          <w:kern w:val="0"/>
          <w:sz w:val="32"/>
          <w:szCs w:val="32"/>
          <w:shd w:val="clear" w:fill="FFFFFF"/>
          <w:lang w:val="en-US" w:eastAsia="zh-CN" w:bidi="ar"/>
        </w:rPr>
        <w:t>4、贯彻落实党和国家、省、市、县关于扶贫开发(脱贫攻坚)、老区建设、中央定点帮扶、东西部扶贫协作的方针、政策，研究制定全县扶贫开发(脱贫攻坚)建设等方面的规划、计划、政策、措施，并组织实施和监督检查。</w:t>
      </w:r>
    </w:p>
    <w:p w14:paraId="7830D435">
      <w:pPr>
        <w:keepNext w:val="0"/>
        <w:keepLines w:val="0"/>
        <w:widowControl/>
        <w:suppressLineNumbers w:val="0"/>
        <w:shd w:val="clear" w:fill="FFFFFF"/>
        <w:spacing w:before="100" w:beforeAutospacing="0" w:after="100" w:afterAutospacing="0"/>
        <w:ind w:left="0" w:right="0" w:firstLine="640"/>
        <w:jc w:val="left"/>
        <w:rPr>
          <w:rFonts w:hint="eastAsia" w:ascii="仿宋" w:hAnsi="仿宋" w:eastAsia="仿宋" w:cs="仿宋"/>
          <w:color w:val="333333"/>
          <w:kern w:val="0"/>
          <w:sz w:val="32"/>
          <w:szCs w:val="32"/>
          <w:shd w:val="clear" w:fill="FFFFFF"/>
          <w:lang w:val="en-US" w:eastAsia="zh-CN" w:bidi="ar"/>
        </w:rPr>
      </w:pPr>
      <w:r>
        <w:rPr>
          <w:rFonts w:hint="eastAsia" w:ascii="仿宋" w:hAnsi="仿宋" w:eastAsia="仿宋" w:cs="仿宋"/>
          <w:color w:val="333333"/>
          <w:kern w:val="0"/>
          <w:sz w:val="32"/>
          <w:szCs w:val="32"/>
          <w:shd w:val="clear" w:fill="FFFFFF"/>
          <w:lang w:val="en-US" w:eastAsia="zh-CN" w:bidi="ar"/>
        </w:rPr>
        <w:t>5、贯彻执行国家巩固拓展脱贫攻坚成果同乡村振兴有效衔接的方针政策和法律法规，拟订有关具体政策措施并组织实施。</w:t>
      </w:r>
    </w:p>
    <w:p w14:paraId="78720582">
      <w:pPr>
        <w:keepNext w:val="0"/>
        <w:keepLines w:val="0"/>
        <w:widowControl/>
        <w:suppressLineNumbers w:val="0"/>
        <w:shd w:val="clear" w:fill="FFFFFF"/>
        <w:spacing w:before="100" w:beforeAutospacing="0" w:after="100" w:afterAutospacing="0"/>
        <w:ind w:left="0" w:right="0" w:firstLine="640"/>
        <w:jc w:val="left"/>
        <w:rPr>
          <w:rFonts w:hint="eastAsia" w:ascii="仿宋" w:hAnsi="仿宋" w:eastAsia="仿宋" w:cs="仿宋"/>
          <w:color w:val="333333"/>
          <w:szCs w:val="21"/>
          <w:shd w:val="clear" w:fill="FFFFFF"/>
          <w:lang w:val="en-US"/>
        </w:rPr>
      </w:pPr>
      <w:r>
        <w:rPr>
          <w:rFonts w:hint="eastAsia" w:ascii="仿宋" w:hAnsi="仿宋" w:eastAsia="仿宋" w:cs="仿宋"/>
          <w:color w:val="333333"/>
          <w:kern w:val="0"/>
          <w:sz w:val="32"/>
          <w:szCs w:val="32"/>
          <w:shd w:val="clear" w:fill="FFFFFF"/>
          <w:lang w:val="en-US" w:eastAsia="zh-CN" w:bidi="ar"/>
        </w:rPr>
        <w:t>6、统筹研究和组织实施乡村振兴的发展战略、中长期规划、重大政策，组织起草乡村振兴有关法律法规、部门规章草案。</w:t>
      </w:r>
    </w:p>
    <w:p w14:paraId="76FB01F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仿宋" w:hAnsi="仿宋" w:eastAsia="仿宋" w:cs="仿宋"/>
          <w:i w:val="0"/>
          <w:iCs w:val="0"/>
          <w:caps w:val="0"/>
          <w:color w:val="000000"/>
          <w:spacing w:val="0"/>
          <w:sz w:val="32"/>
          <w:szCs w:val="32"/>
          <w:shd w:val="clear" w:fill="FFFFFF"/>
        </w:rPr>
      </w:pPr>
    </w:p>
    <w:p w14:paraId="58932B87">
      <w:pPr>
        <w:keepNext w:val="0"/>
        <w:keepLines w:val="0"/>
        <w:widowControl/>
        <w:numPr>
          <w:ilvl w:val="0"/>
          <w:numId w:val="1"/>
        </w:numPr>
        <w:suppressLineNumbers w:val="0"/>
        <w:shd w:val="clear" w:fill="FFFFFF"/>
        <w:spacing w:before="100" w:beforeAutospacing="0" w:after="100" w:afterAutospacing="0" w:line="460" w:lineRule="atLeast"/>
        <w:ind w:left="0" w:leftChars="0" w:right="0" w:firstLine="0" w:firstLineChars="0"/>
        <w:jc w:val="left"/>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绩效目标设定情况</w:t>
      </w:r>
    </w:p>
    <w:p w14:paraId="32E5B1D3">
      <w:pPr>
        <w:keepNext w:val="0"/>
        <w:keepLines w:val="0"/>
        <w:widowControl/>
        <w:numPr>
          <w:ilvl w:val="0"/>
          <w:numId w:val="0"/>
        </w:numPr>
        <w:suppressLineNumbers w:val="0"/>
        <w:shd w:val="clear" w:fill="FFFFFF"/>
        <w:spacing w:before="100" w:beforeAutospacing="0" w:after="100" w:afterAutospacing="0" w:line="460" w:lineRule="atLeast"/>
        <w:ind w:leftChars="0" w:right="0" w:rightChars="0" w:firstLine="640" w:firstLineChars="200"/>
        <w:jc w:val="left"/>
        <w:rPr>
          <w:rFonts w:hint="eastAsia" w:ascii="仿宋" w:hAnsi="仿宋" w:eastAsia="仿宋" w:cs="仿宋"/>
          <w:color w:val="333333"/>
          <w:szCs w:val="21"/>
          <w:shd w:val="clear" w:fill="FFFFFF"/>
          <w:lang w:val="en-US"/>
        </w:rPr>
      </w:pPr>
      <w:r>
        <w:rPr>
          <w:rFonts w:hint="eastAsia" w:ascii="仿宋" w:hAnsi="仿宋" w:eastAsia="仿宋" w:cs="仿宋"/>
          <w:color w:val="000000"/>
          <w:kern w:val="0"/>
          <w:sz w:val="32"/>
          <w:szCs w:val="32"/>
          <w:shd w:val="clear" w:fill="FFFFFF"/>
          <w:lang w:val="en-US" w:eastAsia="zh-CN" w:bidi="ar"/>
        </w:rPr>
        <w:t>1、严格按照预算控制“三公”经费。</w:t>
      </w:r>
    </w:p>
    <w:p w14:paraId="35F48C0F">
      <w:pPr>
        <w:keepNext w:val="0"/>
        <w:keepLines w:val="0"/>
        <w:widowControl/>
        <w:suppressLineNumbers w:val="0"/>
        <w:shd w:val="clear" w:fill="FFFFFF"/>
        <w:spacing w:before="100" w:beforeAutospacing="0" w:after="100" w:afterAutospacing="0" w:line="460" w:lineRule="atLeast"/>
        <w:ind w:left="0" w:right="0" w:firstLine="640"/>
        <w:jc w:val="left"/>
        <w:rPr>
          <w:rFonts w:hint="eastAsia" w:ascii="仿宋" w:hAnsi="仿宋" w:eastAsia="仿宋" w:cs="仿宋"/>
          <w:color w:val="333333"/>
          <w:szCs w:val="21"/>
          <w:shd w:val="clear" w:fill="FFFFFF"/>
          <w:lang w:val="en-US"/>
        </w:rPr>
      </w:pPr>
      <w:r>
        <w:rPr>
          <w:rFonts w:hint="eastAsia" w:ascii="仿宋" w:hAnsi="仿宋" w:eastAsia="仿宋" w:cs="仿宋"/>
          <w:color w:val="000000"/>
          <w:kern w:val="0"/>
          <w:sz w:val="32"/>
          <w:szCs w:val="32"/>
          <w:shd w:val="clear" w:fill="FFFFFF"/>
          <w:lang w:val="en-US" w:eastAsia="zh-CN" w:bidi="ar"/>
        </w:rPr>
        <w:t>2、加强内部财务管理，严格控制好行政运行成本。</w:t>
      </w:r>
    </w:p>
    <w:p w14:paraId="086B8E5F">
      <w:pPr>
        <w:keepNext w:val="0"/>
        <w:keepLines w:val="0"/>
        <w:widowControl/>
        <w:suppressLineNumbers w:val="0"/>
        <w:shd w:val="clear" w:fill="FFFFFF"/>
        <w:spacing w:before="100" w:beforeAutospacing="0" w:after="100" w:afterAutospacing="0" w:line="460" w:lineRule="atLeast"/>
        <w:ind w:left="0" w:right="0" w:firstLine="640"/>
        <w:jc w:val="left"/>
        <w:rPr>
          <w:rFonts w:hint="eastAsia" w:ascii="仿宋" w:hAnsi="仿宋" w:eastAsia="仿宋" w:cs="仿宋"/>
          <w:color w:val="333333"/>
          <w:szCs w:val="21"/>
          <w:shd w:val="clear" w:fill="FFFFFF"/>
          <w:lang w:val="en-US"/>
        </w:rPr>
      </w:pPr>
      <w:r>
        <w:rPr>
          <w:rFonts w:hint="eastAsia" w:ascii="仿宋" w:hAnsi="仿宋" w:eastAsia="仿宋" w:cs="仿宋"/>
          <w:color w:val="000000"/>
          <w:kern w:val="0"/>
          <w:sz w:val="32"/>
          <w:szCs w:val="32"/>
          <w:shd w:val="clear" w:fill="FFFFFF"/>
          <w:lang w:val="en-US" w:eastAsia="zh-CN" w:bidi="ar"/>
        </w:rPr>
        <w:t>3、加强对乡村振兴资金的监管，严格执行报账审批程序。</w:t>
      </w:r>
    </w:p>
    <w:p w14:paraId="22FBF90D">
      <w:pPr>
        <w:keepNext w:val="0"/>
        <w:keepLines w:val="0"/>
        <w:widowControl/>
        <w:suppressLineNumbers w:val="0"/>
        <w:shd w:val="clear" w:fill="FFFFFF"/>
        <w:spacing w:before="100" w:beforeAutospacing="0" w:after="100" w:afterAutospacing="0" w:line="460" w:lineRule="atLeast"/>
        <w:ind w:left="0" w:right="0" w:firstLine="640"/>
        <w:jc w:val="left"/>
        <w:rPr>
          <w:rFonts w:hint="eastAsia" w:ascii="仿宋" w:hAnsi="仿宋" w:eastAsia="仿宋" w:cs="仿宋"/>
          <w:color w:val="333333"/>
          <w:szCs w:val="21"/>
          <w:shd w:val="clear" w:fill="FFFFFF"/>
          <w:lang w:val="en-US"/>
        </w:rPr>
      </w:pPr>
      <w:r>
        <w:rPr>
          <w:rFonts w:hint="eastAsia" w:ascii="仿宋" w:hAnsi="仿宋" w:eastAsia="仿宋" w:cs="仿宋"/>
          <w:color w:val="000000"/>
          <w:kern w:val="0"/>
          <w:sz w:val="32"/>
          <w:szCs w:val="32"/>
          <w:shd w:val="clear" w:fill="FFFFFF"/>
          <w:lang w:val="en-US" w:eastAsia="zh-CN" w:bidi="ar"/>
        </w:rPr>
        <w:t>4、加强对项目资金的监管，无截留、挤占、挪用。</w:t>
      </w:r>
    </w:p>
    <w:p w14:paraId="529C28BF">
      <w:pPr>
        <w:keepNext w:val="0"/>
        <w:keepLines w:val="0"/>
        <w:widowControl/>
        <w:suppressLineNumbers w:val="0"/>
        <w:shd w:val="clear" w:fill="FFFFFF"/>
        <w:spacing w:before="100" w:beforeAutospacing="0" w:after="100" w:afterAutospacing="0" w:line="460" w:lineRule="atLeast"/>
        <w:ind w:left="0" w:right="0" w:firstLine="640"/>
        <w:jc w:val="left"/>
        <w:rPr>
          <w:rFonts w:hint="eastAsia" w:ascii="仿宋" w:hAnsi="仿宋" w:eastAsia="仿宋" w:cs="仿宋"/>
          <w:color w:val="333333"/>
          <w:szCs w:val="21"/>
          <w:shd w:val="clear" w:fill="FFFFFF"/>
          <w:lang w:val="en-US"/>
        </w:rPr>
      </w:pPr>
      <w:r>
        <w:rPr>
          <w:rFonts w:hint="eastAsia" w:ascii="仿宋" w:hAnsi="仿宋" w:eastAsia="仿宋" w:cs="仿宋"/>
          <w:color w:val="000000"/>
          <w:kern w:val="0"/>
          <w:sz w:val="32"/>
          <w:szCs w:val="32"/>
          <w:shd w:val="clear" w:fill="FFFFFF"/>
          <w:lang w:val="en-US" w:eastAsia="zh-CN" w:bidi="ar"/>
        </w:rPr>
        <w:t>我局坚持“综合稳局、项目立局、”发展战略，各项工作早部署、早行动，结合实际情况实行工作落实“常态化”制，即工作要点制、工作例会制、督查落实制，办公室干部职工群众克难攻坚、真抓实干。</w:t>
      </w:r>
    </w:p>
    <w:p w14:paraId="1FF7BF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rPr>
      </w:pPr>
    </w:p>
    <w:p w14:paraId="72F672C5">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二、部门整体支出管理及使用情况</w:t>
      </w:r>
    </w:p>
    <w:p w14:paraId="3FD84CD3">
      <w:pPr>
        <w:pStyle w:val="6"/>
        <w:widowControl/>
        <w:spacing w:line="600" w:lineRule="exact"/>
        <w:ind w:left="640" w:firstLine="0" w:firstLineChars="0"/>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部门</w:t>
      </w:r>
      <w:r>
        <w:rPr>
          <w:rFonts w:hint="eastAsia" w:ascii="仿宋" w:hAnsi="仿宋" w:eastAsia="仿宋" w:cs="仿宋"/>
          <w:sz w:val="32"/>
          <w:szCs w:val="32"/>
        </w:rPr>
        <w:t>预决算情况</w:t>
      </w:r>
    </w:p>
    <w:p w14:paraId="7BFCC125">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1.部门预算情况</w:t>
      </w:r>
    </w:p>
    <w:p w14:paraId="1F515B59">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2024年年初预算安排收入</w:t>
      </w:r>
      <w:r>
        <w:rPr>
          <w:rFonts w:hint="eastAsia" w:ascii="仿宋" w:hAnsi="仿宋" w:eastAsia="仿宋" w:cs="仿宋"/>
          <w:sz w:val="32"/>
          <w:szCs w:val="32"/>
          <w:lang w:val="en-US" w:eastAsia="zh-CN"/>
        </w:rPr>
        <w:t>274.20</w:t>
      </w:r>
      <w:r>
        <w:rPr>
          <w:rFonts w:hint="eastAsia" w:ascii="仿宋" w:hAnsi="仿宋" w:eastAsia="仿宋" w:cs="仿宋"/>
          <w:sz w:val="32"/>
          <w:szCs w:val="32"/>
          <w:lang w:eastAsia="zh-CN"/>
        </w:rPr>
        <w:t>万元，其中一般公共财政拨款</w:t>
      </w:r>
      <w:r>
        <w:rPr>
          <w:rFonts w:hint="eastAsia" w:ascii="仿宋" w:hAnsi="仿宋" w:eastAsia="仿宋" w:cs="仿宋"/>
          <w:sz w:val="32"/>
          <w:szCs w:val="32"/>
          <w:lang w:val="en-US" w:eastAsia="zh-CN"/>
        </w:rPr>
        <w:t>2274.20</w:t>
      </w:r>
      <w:r>
        <w:rPr>
          <w:rFonts w:hint="eastAsia" w:ascii="仿宋" w:hAnsi="仿宋" w:eastAsia="仿宋" w:cs="仿宋"/>
          <w:sz w:val="32"/>
          <w:szCs w:val="32"/>
          <w:lang w:eastAsia="zh-CN"/>
        </w:rPr>
        <w:t>万元，2024年年初预算安排支出</w:t>
      </w:r>
      <w:r>
        <w:rPr>
          <w:rFonts w:hint="eastAsia" w:ascii="仿宋" w:hAnsi="仿宋" w:eastAsia="仿宋" w:cs="仿宋"/>
          <w:sz w:val="32"/>
          <w:szCs w:val="32"/>
          <w:lang w:val="en-US" w:eastAsia="zh-CN"/>
        </w:rPr>
        <w:t>274.20</w:t>
      </w:r>
      <w:r>
        <w:rPr>
          <w:rFonts w:hint="eastAsia" w:ascii="仿宋" w:hAnsi="仿宋" w:eastAsia="仿宋" w:cs="仿宋"/>
          <w:sz w:val="32"/>
          <w:szCs w:val="32"/>
          <w:lang w:eastAsia="zh-CN"/>
        </w:rPr>
        <w:t>万元，其中：基本支出</w:t>
      </w:r>
      <w:r>
        <w:rPr>
          <w:rFonts w:hint="eastAsia" w:ascii="仿宋" w:hAnsi="仿宋" w:eastAsia="仿宋" w:cs="仿宋"/>
          <w:sz w:val="32"/>
          <w:szCs w:val="32"/>
          <w:lang w:val="en-US" w:eastAsia="zh-CN"/>
        </w:rPr>
        <w:t>217.50</w:t>
      </w:r>
      <w:r>
        <w:rPr>
          <w:rFonts w:hint="eastAsia" w:ascii="仿宋" w:hAnsi="仿宋" w:eastAsia="仿宋" w:cs="仿宋"/>
          <w:sz w:val="32"/>
          <w:szCs w:val="32"/>
          <w:lang w:eastAsia="zh-CN"/>
        </w:rPr>
        <w:t>万元，项目支出</w:t>
      </w:r>
      <w:r>
        <w:rPr>
          <w:rFonts w:hint="eastAsia" w:ascii="仿宋" w:hAnsi="仿宋" w:eastAsia="仿宋" w:cs="仿宋"/>
          <w:sz w:val="32"/>
          <w:szCs w:val="32"/>
          <w:lang w:val="en-US" w:eastAsia="zh-CN"/>
        </w:rPr>
        <w:t>56.70</w:t>
      </w:r>
      <w:r>
        <w:rPr>
          <w:rFonts w:hint="eastAsia" w:ascii="仿宋" w:hAnsi="仿宋" w:eastAsia="仿宋" w:cs="仿宋"/>
          <w:sz w:val="32"/>
          <w:szCs w:val="32"/>
          <w:lang w:eastAsia="zh-CN"/>
        </w:rPr>
        <w:t>万元。</w:t>
      </w:r>
    </w:p>
    <w:p w14:paraId="162C2B9C">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2.部门决算情况（含年中预算追加情况）</w:t>
      </w:r>
    </w:p>
    <w:p w14:paraId="11634876">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2024年决算总收入</w:t>
      </w:r>
      <w:r>
        <w:rPr>
          <w:rFonts w:hint="eastAsia" w:ascii="仿宋" w:hAnsi="仿宋" w:eastAsia="仿宋" w:cs="仿宋"/>
          <w:sz w:val="32"/>
          <w:szCs w:val="32"/>
          <w:lang w:val="en-US" w:eastAsia="zh-CN"/>
        </w:rPr>
        <w:t>2140.78</w:t>
      </w:r>
      <w:r>
        <w:rPr>
          <w:rFonts w:hint="eastAsia" w:ascii="仿宋" w:hAnsi="仿宋" w:eastAsia="仿宋" w:cs="仿宋"/>
          <w:sz w:val="32"/>
          <w:szCs w:val="32"/>
          <w:lang w:eastAsia="zh-CN"/>
        </w:rPr>
        <w:t>万元，较预算增加</w:t>
      </w:r>
      <w:r>
        <w:rPr>
          <w:rFonts w:hint="eastAsia" w:ascii="仿宋" w:hAnsi="仿宋" w:eastAsia="仿宋" w:cs="仿宋"/>
          <w:sz w:val="32"/>
          <w:szCs w:val="32"/>
          <w:lang w:val="en-US" w:eastAsia="zh-CN"/>
        </w:rPr>
        <w:t>1866</w:t>
      </w:r>
      <w:bookmarkStart w:id="0" w:name="_GoBack"/>
      <w:bookmarkEnd w:id="0"/>
      <w:r>
        <w:rPr>
          <w:rFonts w:hint="eastAsia" w:ascii="仿宋" w:hAnsi="仿宋" w:eastAsia="仿宋" w:cs="仿宋"/>
          <w:sz w:val="32"/>
          <w:szCs w:val="32"/>
          <w:lang w:val="en-US" w:eastAsia="zh-CN"/>
        </w:rPr>
        <w:t>.58</w:t>
      </w:r>
      <w:r>
        <w:rPr>
          <w:rFonts w:hint="eastAsia" w:ascii="仿宋" w:hAnsi="仿宋" w:eastAsia="仿宋" w:cs="仿宋"/>
          <w:sz w:val="32"/>
          <w:szCs w:val="32"/>
          <w:lang w:eastAsia="zh-CN"/>
        </w:rPr>
        <w:t>万元，总支出</w:t>
      </w:r>
      <w:r>
        <w:rPr>
          <w:rFonts w:hint="eastAsia" w:ascii="仿宋" w:hAnsi="仿宋" w:eastAsia="仿宋" w:cs="仿宋"/>
          <w:sz w:val="32"/>
          <w:szCs w:val="32"/>
          <w:lang w:val="en-US" w:eastAsia="zh-CN"/>
        </w:rPr>
        <w:t>2140.78</w:t>
      </w:r>
      <w:r>
        <w:rPr>
          <w:rFonts w:hint="eastAsia" w:ascii="仿宋" w:hAnsi="仿宋" w:eastAsia="仿宋" w:cs="仿宋"/>
          <w:sz w:val="32"/>
          <w:szCs w:val="32"/>
          <w:lang w:eastAsia="zh-CN"/>
        </w:rPr>
        <w:t>万元，其中：基本支出</w:t>
      </w:r>
      <w:r>
        <w:rPr>
          <w:rFonts w:hint="eastAsia" w:ascii="仿宋" w:hAnsi="仿宋" w:eastAsia="仿宋" w:cs="仿宋"/>
          <w:sz w:val="32"/>
          <w:szCs w:val="32"/>
          <w:lang w:val="en-US" w:eastAsia="zh-CN"/>
        </w:rPr>
        <w:t>361.33</w:t>
      </w:r>
      <w:r>
        <w:rPr>
          <w:rFonts w:hint="eastAsia" w:ascii="仿宋" w:hAnsi="仿宋" w:eastAsia="仿宋" w:cs="仿宋"/>
          <w:sz w:val="32"/>
          <w:szCs w:val="32"/>
          <w:lang w:eastAsia="zh-CN"/>
        </w:rPr>
        <w:t>万元，占总支出的</w:t>
      </w:r>
      <w:r>
        <w:rPr>
          <w:rFonts w:hint="eastAsia" w:ascii="仿宋" w:hAnsi="仿宋" w:eastAsia="仿宋" w:cs="仿宋"/>
          <w:sz w:val="32"/>
          <w:szCs w:val="32"/>
          <w:lang w:val="en-US" w:eastAsia="zh-CN"/>
        </w:rPr>
        <w:t>16.88</w:t>
      </w:r>
      <w:r>
        <w:rPr>
          <w:rFonts w:hint="eastAsia" w:ascii="仿宋" w:hAnsi="仿宋" w:eastAsia="仿宋" w:cs="仿宋"/>
          <w:sz w:val="32"/>
          <w:szCs w:val="32"/>
          <w:lang w:eastAsia="zh-CN"/>
        </w:rPr>
        <w:t>％；项目支出</w:t>
      </w:r>
      <w:r>
        <w:rPr>
          <w:rFonts w:hint="eastAsia" w:ascii="仿宋" w:hAnsi="仿宋" w:eastAsia="仿宋" w:cs="仿宋"/>
          <w:sz w:val="32"/>
          <w:szCs w:val="32"/>
          <w:lang w:val="en-US" w:eastAsia="zh-CN"/>
        </w:rPr>
        <w:t>1779.45</w:t>
      </w:r>
      <w:r>
        <w:rPr>
          <w:rFonts w:hint="eastAsia" w:ascii="仿宋" w:hAnsi="仿宋" w:eastAsia="仿宋" w:cs="仿宋"/>
          <w:sz w:val="32"/>
          <w:szCs w:val="32"/>
          <w:lang w:eastAsia="zh-CN"/>
        </w:rPr>
        <w:t>万元，占总支出的</w:t>
      </w:r>
      <w:r>
        <w:rPr>
          <w:rFonts w:hint="eastAsia" w:ascii="仿宋" w:hAnsi="仿宋" w:eastAsia="仿宋" w:cs="仿宋"/>
          <w:sz w:val="32"/>
          <w:szCs w:val="32"/>
          <w:lang w:val="en-US" w:eastAsia="zh-CN"/>
        </w:rPr>
        <w:t>83.12</w:t>
      </w:r>
      <w:r>
        <w:rPr>
          <w:rFonts w:hint="eastAsia" w:ascii="仿宋" w:hAnsi="仿宋" w:eastAsia="仿宋" w:cs="仿宋"/>
          <w:sz w:val="32"/>
          <w:szCs w:val="32"/>
          <w:lang w:eastAsia="zh-CN"/>
        </w:rPr>
        <w:t>％。差异产生的主要原因是年初预算不包括乡村振兴工程项目资金。</w:t>
      </w:r>
    </w:p>
    <w:p w14:paraId="210C2C29">
      <w:pPr>
        <w:spacing w:line="60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（二）部门预算执行情况</w:t>
      </w:r>
    </w:p>
    <w:p w14:paraId="771591A5">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.“三公”经费执行情况</w:t>
      </w:r>
    </w:p>
    <w:p w14:paraId="496AAD11">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2024年“三公”经费预算数</w:t>
      </w:r>
      <w:r>
        <w:rPr>
          <w:rFonts w:hint="eastAsia" w:ascii="仿宋" w:hAnsi="仿宋" w:eastAsia="仿宋" w:cs="仿宋"/>
          <w:sz w:val="32"/>
          <w:szCs w:val="32"/>
          <w:lang w:val="en-US" w:eastAsia="zh-CN"/>
        </w:rPr>
        <w:t>4.20</w:t>
      </w:r>
      <w:r>
        <w:rPr>
          <w:rFonts w:hint="eastAsia" w:ascii="仿宋" w:hAnsi="仿宋" w:eastAsia="仿宋" w:cs="仿宋"/>
          <w:sz w:val="32"/>
          <w:szCs w:val="32"/>
          <w:lang w:eastAsia="zh-CN"/>
        </w:rPr>
        <w:t>万元，其中：因公出国（境）费</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万元，公务用车购置及运行维护费</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万元，公务接待费</w:t>
      </w:r>
      <w:r>
        <w:rPr>
          <w:rFonts w:hint="eastAsia" w:ascii="仿宋" w:hAnsi="仿宋" w:eastAsia="仿宋" w:cs="仿宋"/>
          <w:sz w:val="32"/>
          <w:szCs w:val="32"/>
          <w:lang w:val="en-US" w:eastAsia="zh-CN"/>
        </w:rPr>
        <w:t>4.20</w:t>
      </w:r>
      <w:r>
        <w:rPr>
          <w:rFonts w:hint="eastAsia" w:ascii="仿宋" w:hAnsi="仿宋" w:eastAsia="仿宋" w:cs="仿宋"/>
          <w:sz w:val="32"/>
          <w:szCs w:val="32"/>
          <w:lang w:eastAsia="zh-CN"/>
        </w:rPr>
        <w:t>万元。“三公”经费决算数</w:t>
      </w:r>
      <w:r>
        <w:rPr>
          <w:rFonts w:hint="eastAsia" w:ascii="仿宋" w:hAnsi="仿宋" w:eastAsia="仿宋" w:cs="仿宋"/>
          <w:sz w:val="32"/>
          <w:szCs w:val="32"/>
          <w:lang w:val="en-US" w:eastAsia="zh-CN"/>
        </w:rPr>
        <w:t>0.55</w:t>
      </w:r>
      <w:r>
        <w:rPr>
          <w:rFonts w:hint="eastAsia" w:ascii="仿宋" w:hAnsi="仿宋" w:eastAsia="仿宋" w:cs="仿宋"/>
          <w:sz w:val="32"/>
          <w:szCs w:val="32"/>
          <w:lang w:eastAsia="zh-CN"/>
        </w:rPr>
        <w:t>元，其中：因公出国（境）费</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万元，公务用车运行维护费</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万元，公务接待费</w:t>
      </w:r>
      <w:r>
        <w:rPr>
          <w:rFonts w:hint="eastAsia" w:ascii="仿宋" w:hAnsi="仿宋" w:eastAsia="仿宋" w:cs="仿宋"/>
          <w:sz w:val="32"/>
          <w:szCs w:val="32"/>
          <w:lang w:val="en-US" w:eastAsia="zh-CN"/>
        </w:rPr>
        <w:t>0.55</w:t>
      </w:r>
      <w:r>
        <w:rPr>
          <w:rFonts w:hint="eastAsia" w:ascii="仿宋" w:hAnsi="仿宋" w:eastAsia="仿宋" w:cs="仿宋"/>
          <w:sz w:val="32"/>
          <w:szCs w:val="32"/>
          <w:lang w:eastAsia="zh-CN"/>
        </w:rPr>
        <w:t>万元。</w:t>
      </w:r>
    </w:p>
    <w:p w14:paraId="7D81D988">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.政府采购执行情况</w:t>
      </w:r>
    </w:p>
    <w:p w14:paraId="0BC0B82A">
      <w:pPr>
        <w:spacing w:line="600" w:lineRule="exact"/>
        <w:ind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sz w:val="32"/>
          <w:szCs w:val="32"/>
          <w:lang w:eastAsia="zh-CN"/>
        </w:rPr>
        <w:t>2024年度政府采购支出121.35万元，其中：货物</w:t>
      </w:r>
      <w:r>
        <w:rPr>
          <w:rFonts w:hint="eastAsia" w:ascii="仿宋" w:hAnsi="仿宋" w:eastAsia="仿宋" w:cs="仿宋"/>
          <w:sz w:val="32"/>
          <w:szCs w:val="32"/>
          <w:lang w:val="en-US" w:eastAsia="zh-CN"/>
        </w:rPr>
        <w:t>18</w:t>
      </w:r>
      <w:r>
        <w:rPr>
          <w:rFonts w:hint="eastAsia" w:ascii="仿宋" w:hAnsi="仿宋" w:eastAsia="仿宋" w:cs="仿宋"/>
          <w:sz w:val="32"/>
          <w:szCs w:val="32"/>
          <w:lang w:eastAsia="zh-CN"/>
        </w:rPr>
        <w:t>元，工程</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万元，服务</w:t>
      </w:r>
      <w:r>
        <w:rPr>
          <w:rFonts w:hint="eastAsia" w:ascii="仿宋" w:hAnsi="仿宋" w:eastAsia="仿宋" w:cs="仿宋"/>
          <w:sz w:val="32"/>
          <w:szCs w:val="32"/>
          <w:lang w:val="en-US" w:eastAsia="zh-CN"/>
        </w:rPr>
        <w:t>121.35</w:t>
      </w:r>
      <w:r>
        <w:rPr>
          <w:rFonts w:hint="eastAsia" w:ascii="仿宋" w:hAnsi="仿宋" w:eastAsia="仿宋" w:cs="仿宋"/>
          <w:sz w:val="32"/>
          <w:szCs w:val="32"/>
          <w:lang w:eastAsia="zh-CN"/>
        </w:rPr>
        <w:t>万元。</w:t>
      </w:r>
    </w:p>
    <w:p w14:paraId="3DE26536">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政府性基金预算支出情况</w:t>
      </w:r>
    </w:p>
    <w:p w14:paraId="297AFB1F">
      <w:pPr>
        <w:pStyle w:val="6"/>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lang w:eastAsia="zh-CN"/>
        </w:rPr>
        <w:t>无</w:t>
      </w:r>
    </w:p>
    <w:p w14:paraId="63898D2E">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国有资本经营预算支出情况</w:t>
      </w:r>
    </w:p>
    <w:p w14:paraId="7FE8863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lang w:eastAsia="zh-CN"/>
        </w:rPr>
        <w:t>无</w:t>
      </w:r>
    </w:p>
    <w:p w14:paraId="19ACCFE2">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社会保险基金预算支出情况</w:t>
      </w:r>
    </w:p>
    <w:p w14:paraId="5F003E02">
      <w:pPr>
        <w:pStyle w:val="6"/>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lang w:eastAsia="zh-CN"/>
        </w:rPr>
        <w:t>无</w:t>
      </w:r>
    </w:p>
    <w:p w14:paraId="294733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六、部门整体支出绩效情况</w:t>
      </w:r>
    </w:p>
    <w:p w14:paraId="2F2C20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i w:val="0"/>
          <w:iCs w:val="0"/>
          <w:caps w:val="0"/>
          <w:color w:val="000000"/>
          <w:spacing w:val="0"/>
          <w:sz w:val="32"/>
          <w:szCs w:val="32"/>
          <w:shd w:val="clear" w:fill="FFFFFF"/>
        </w:rPr>
        <w:t>（一）综合评价结论。</w:t>
      </w:r>
      <w:r>
        <w:rPr>
          <w:rFonts w:hint="eastAsia" w:ascii="仿宋" w:hAnsi="仿宋" w:eastAsia="仿宋" w:cs="仿宋"/>
          <w:color w:val="auto"/>
          <w:kern w:val="0"/>
          <w:sz w:val="32"/>
          <w:szCs w:val="32"/>
          <w:lang w:val="en-US" w:eastAsia="zh-CN"/>
        </w:rPr>
        <w:t>绩效目标完成情况：工作完成率、工作完成及时率、质量达标率都达到了100%</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color w:val="auto"/>
          <w:kern w:val="0"/>
          <w:sz w:val="32"/>
          <w:szCs w:val="32"/>
          <w:lang w:val="en-US" w:eastAsia="zh-CN" w:bidi="ar-SA"/>
        </w:rPr>
        <w:t>本单位绩效评估自评总得分为98分。</w:t>
      </w:r>
    </w:p>
    <w:p w14:paraId="25E631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rPr>
      </w:pPr>
    </w:p>
    <w:p w14:paraId="3EC92E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（二）评价指标分析（或综合评价情况）</w:t>
      </w:r>
      <w:r>
        <w:rPr>
          <w:rFonts w:hint="eastAsia" w:ascii="仿宋" w:hAnsi="仿宋" w:eastAsia="仿宋" w:cs="仿宋"/>
          <w:sz w:val="32"/>
          <w:szCs w:val="32"/>
          <w:lang w:val="en-US" w:eastAsia="zh-CN"/>
        </w:rPr>
        <w:t>本</w:t>
      </w:r>
      <w:r>
        <w:rPr>
          <w:rFonts w:hint="eastAsia" w:ascii="仿宋" w:hAnsi="仿宋" w:eastAsia="仿宋" w:cs="仿宋"/>
          <w:sz w:val="32"/>
          <w:szCs w:val="32"/>
        </w:rPr>
        <w:t>单位在</w:t>
      </w:r>
      <w:r>
        <w:rPr>
          <w:rFonts w:hint="eastAsia" w:ascii="仿宋" w:hAnsi="仿宋" w:eastAsia="仿宋" w:cs="仿宋"/>
          <w:sz w:val="32"/>
          <w:szCs w:val="32"/>
          <w:lang w:eastAsia="zh-CN"/>
        </w:rPr>
        <w:t>2024</w:t>
      </w:r>
      <w:r>
        <w:rPr>
          <w:rFonts w:hint="eastAsia" w:ascii="仿宋" w:hAnsi="仿宋" w:eastAsia="仿宋" w:cs="仿宋"/>
          <w:sz w:val="32"/>
          <w:szCs w:val="32"/>
        </w:rPr>
        <w:t>年经费使用过程中加强管理，合理安排各项开支，精打细算，确保单位的正常运转，实现了收支平衡，年初设置目标绩效目标值100%完成</w:t>
      </w:r>
      <w:r>
        <w:rPr>
          <w:rFonts w:hint="eastAsia" w:ascii="仿宋" w:hAnsi="仿宋" w:eastAsia="仿宋" w:cs="仿宋"/>
          <w:sz w:val="32"/>
          <w:szCs w:val="32"/>
          <w:lang w:eastAsia="zh-CN"/>
        </w:rPr>
        <w:t>。</w:t>
      </w:r>
      <w:r>
        <w:rPr>
          <w:rFonts w:hint="eastAsia" w:ascii="仿宋" w:hAnsi="仿宋" w:eastAsia="仿宋" w:cs="仿宋"/>
          <w:bCs/>
          <w:sz w:val="32"/>
          <w:szCs w:val="32"/>
        </w:rPr>
        <w:t>1、人员经费保证了工作人员安心工作，全心全意服务社会、服务群众；2、办公设备的</w:t>
      </w:r>
      <w:r>
        <w:rPr>
          <w:rFonts w:hint="eastAsia" w:ascii="仿宋" w:hAnsi="仿宋" w:eastAsia="仿宋" w:cs="仿宋"/>
          <w:bCs/>
          <w:sz w:val="32"/>
          <w:szCs w:val="32"/>
          <w:lang w:val="en-US" w:eastAsia="zh-CN"/>
        </w:rPr>
        <w:t>不断</w:t>
      </w:r>
      <w:r>
        <w:rPr>
          <w:rFonts w:hint="eastAsia" w:ascii="仿宋" w:hAnsi="仿宋" w:eastAsia="仿宋" w:cs="仿宋"/>
          <w:bCs/>
          <w:sz w:val="32"/>
          <w:szCs w:val="32"/>
        </w:rPr>
        <w:t>完善大大提高了工作效率、也为工作人员提供了一个</w:t>
      </w:r>
      <w:r>
        <w:rPr>
          <w:rFonts w:hint="eastAsia" w:ascii="仿宋" w:hAnsi="仿宋" w:eastAsia="仿宋" w:cs="仿宋"/>
          <w:bCs/>
          <w:sz w:val="32"/>
          <w:szCs w:val="32"/>
          <w:lang w:val="en-US" w:eastAsia="zh-CN"/>
        </w:rPr>
        <w:t>舒适</w:t>
      </w:r>
      <w:r>
        <w:rPr>
          <w:rFonts w:hint="eastAsia" w:ascii="仿宋" w:hAnsi="仿宋" w:eastAsia="仿宋" w:cs="仿宋"/>
          <w:bCs/>
          <w:sz w:val="32"/>
          <w:szCs w:val="32"/>
        </w:rPr>
        <w:t>的</w:t>
      </w:r>
      <w:r>
        <w:rPr>
          <w:rFonts w:hint="eastAsia" w:ascii="仿宋" w:hAnsi="仿宋" w:eastAsia="仿宋" w:cs="仿宋"/>
          <w:bCs/>
          <w:sz w:val="32"/>
          <w:szCs w:val="32"/>
          <w:lang w:val="en-US" w:eastAsia="zh-CN"/>
        </w:rPr>
        <w:t>办公</w:t>
      </w:r>
      <w:r>
        <w:rPr>
          <w:rFonts w:hint="eastAsia" w:ascii="仿宋" w:hAnsi="仿宋" w:eastAsia="仿宋" w:cs="仿宋"/>
          <w:bCs/>
          <w:sz w:val="32"/>
          <w:szCs w:val="32"/>
        </w:rPr>
        <w:t>环境。3、办公费用保证了单位的正常运转。4、“三公”经费</w:t>
      </w:r>
      <w:r>
        <w:rPr>
          <w:rFonts w:hint="eastAsia" w:ascii="仿宋" w:hAnsi="仿宋" w:eastAsia="仿宋" w:cs="仿宋"/>
          <w:bCs/>
          <w:sz w:val="32"/>
          <w:szCs w:val="32"/>
          <w:lang w:val="en-US" w:eastAsia="zh-CN"/>
        </w:rPr>
        <w:t>严格按照中央和省政府关于党政机关厉行节约反对浪费的规定执行</w:t>
      </w:r>
      <w:r>
        <w:rPr>
          <w:rFonts w:hint="eastAsia" w:ascii="仿宋" w:hAnsi="仿宋" w:eastAsia="仿宋" w:cs="仿宋"/>
          <w:bCs/>
          <w:sz w:val="32"/>
          <w:szCs w:val="32"/>
        </w:rPr>
        <w:t>。</w:t>
      </w:r>
      <w:r>
        <w:rPr>
          <w:rFonts w:hint="eastAsia" w:ascii="仿宋" w:hAnsi="仿宋" w:eastAsia="仿宋" w:cs="仿宋"/>
          <w:i w:val="0"/>
          <w:iCs w:val="0"/>
          <w:caps w:val="0"/>
          <w:color w:val="000000"/>
          <w:spacing w:val="0"/>
          <w:sz w:val="32"/>
          <w:szCs w:val="32"/>
          <w:shd w:val="clear" w:fill="FFFFFF"/>
        </w:rPr>
        <w:t>围绕部门职责、行业发展规划，以预算资金管理为主线，从整体绩效目标设定、预算配置、预算执行、预算管理、资产管理、职责履行、履职效益等方面综合分析</w:t>
      </w:r>
    </w:p>
    <w:p w14:paraId="619F23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七、存在的问题及原因分析</w:t>
      </w:r>
    </w:p>
    <w:p w14:paraId="4FC381A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lang w:eastAsia="zh-CN"/>
        </w:rPr>
        <w:t>财政经费紧张，经费只能保证单位正常运转</w:t>
      </w:r>
    </w:p>
    <w:p w14:paraId="71CECA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 w:hAnsi="仿宋" w:eastAsia="仿宋" w:cs="仿宋"/>
          <w:i w:val="0"/>
          <w:iCs w:val="0"/>
          <w:caps w:val="0"/>
          <w:color w:val="000000"/>
          <w:spacing w:val="0"/>
          <w:sz w:val="32"/>
          <w:szCs w:val="32"/>
          <w:shd w:val="clear" w:fill="FFFFFF"/>
        </w:rPr>
      </w:pPr>
    </w:p>
    <w:p w14:paraId="000501F2">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88" w:lineRule="atLeast"/>
        <w:ind w:right="0" w:firstLine="640" w:firstLineChars="200"/>
        <w:jc w:val="left"/>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下一步改进措施</w:t>
      </w:r>
    </w:p>
    <w:p w14:paraId="1C4B4B6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88" w:lineRule="atLeast"/>
        <w:ind w:right="0" w:rightChars="0"/>
        <w:jc w:val="left"/>
        <w:rPr>
          <w:rFonts w:hint="eastAsia" w:ascii="仿宋" w:hAnsi="仿宋" w:eastAsia="仿宋" w:cs="仿宋"/>
          <w:i w:val="0"/>
          <w:iCs w:val="0"/>
          <w:caps w:val="0"/>
          <w:color w:val="444444"/>
          <w:spacing w:val="0"/>
          <w:sz w:val="19"/>
          <w:szCs w:val="19"/>
        </w:rPr>
      </w:pPr>
      <w:r>
        <w:rPr>
          <w:rFonts w:hint="eastAsia" w:ascii="仿宋" w:hAnsi="仿宋" w:eastAsia="仿宋" w:cs="仿宋"/>
          <w:b/>
          <w:bCs/>
          <w:i w:val="0"/>
          <w:iCs w:val="0"/>
          <w:caps w:val="0"/>
          <w:color w:val="000000"/>
          <w:spacing w:val="0"/>
          <w:kern w:val="0"/>
          <w:sz w:val="32"/>
          <w:szCs w:val="32"/>
          <w:shd w:val="clear" w:color="auto" w:fill="FFFFFF"/>
          <w:lang w:val="en-US" w:eastAsia="zh-CN" w:bidi="ar"/>
        </w:rPr>
        <w:t>（一）增强绩效意识、科学设置绩效目标。</w:t>
      </w:r>
      <w:r>
        <w:rPr>
          <w:rFonts w:hint="eastAsia" w:ascii="仿宋" w:hAnsi="仿宋" w:eastAsia="仿宋" w:cs="仿宋"/>
          <w:i w:val="0"/>
          <w:iCs w:val="0"/>
          <w:caps w:val="0"/>
          <w:color w:val="000000"/>
          <w:spacing w:val="0"/>
          <w:kern w:val="0"/>
          <w:sz w:val="32"/>
          <w:szCs w:val="32"/>
          <w:shd w:val="clear" w:color="auto" w:fill="FFFFFF"/>
          <w:lang w:val="en-US" w:eastAsia="zh-CN" w:bidi="ar"/>
        </w:rPr>
        <w:t>单位加强绩效政策学习，增强绩效意识，绩效目标设置要做到指向明确、合理可行、相应匹配、细化量化，把绩效目标设置得更科学规范，使绩效目标真正发挥指导性作用。</w:t>
      </w:r>
    </w:p>
    <w:p w14:paraId="13E9744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88" w:lineRule="atLeast"/>
        <w:ind w:left="0" w:right="0" w:firstLine="643"/>
        <w:jc w:val="left"/>
        <w:rPr>
          <w:rFonts w:hint="eastAsia" w:ascii="仿宋" w:hAnsi="仿宋" w:eastAsia="仿宋" w:cs="仿宋"/>
          <w:i w:val="0"/>
          <w:iCs w:val="0"/>
          <w:caps w:val="0"/>
          <w:color w:val="444444"/>
          <w:spacing w:val="0"/>
          <w:sz w:val="19"/>
          <w:szCs w:val="19"/>
        </w:rPr>
      </w:pPr>
      <w:r>
        <w:rPr>
          <w:rFonts w:hint="eastAsia" w:ascii="仿宋" w:hAnsi="仿宋" w:eastAsia="仿宋" w:cs="仿宋"/>
          <w:b/>
          <w:bCs/>
          <w:i w:val="0"/>
          <w:iCs w:val="0"/>
          <w:caps w:val="0"/>
          <w:color w:val="000000"/>
          <w:spacing w:val="0"/>
          <w:kern w:val="0"/>
          <w:sz w:val="32"/>
          <w:szCs w:val="32"/>
          <w:shd w:val="clear" w:color="auto" w:fill="FFFFFF"/>
          <w:lang w:val="en-US" w:eastAsia="zh-CN" w:bidi="ar"/>
        </w:rPr>
        <w:t>（二）完善财务制度，严格把控财务报账。</w:t>
      </w:r>
      <w:r>
        <w:rPr>
          <w:rFonts w:hint="eastAsia" w:ascii="仿宋" w:hAnsi="仿宋" w:eastAsia="仿宋" w:cs="仿宋"/>
          <w:i w:val="0"/>
          <w:iCs w:val="0"/>
          <w:caps w:val="0"/>
          <w:color w:val="000000"/>
          <w:spacing w:val="0"/>
          <w:kern w:val="0"/>
          <w:sz w:val="32"/>
          <w:szCs w:val="32"/>
          <w:shd w:val="clear" w:color="auto" w:fill="FFFFFF"/>
          <w:lang w:val="en-US" w:eastAsia="zh-CN" w:bidi="ar"/>
        </w:rPr>
        <w:t>单位要不断完善财务制度，落实岗位责任，并加强对财务人员及相关工作人员的业务培训，提高业务能力，严格按照财务制度要求规范报销行为，做到超标准不报，票据资料不齐不报。</w:t>
      </w:r>
    </w:p>
    <w:p w14:paraId="52EB898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88" w:lineRule="atLeast"/>
        <w:ind w:left="0" w:right="0" w:firstLine="643"/>
        <w:jc w:val="left"/>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kern w:val="0"/>
          <w:sz w:val="32"/>
          <w:szCs w:val="32"/>
          <w:shd w:val="clear" w:color="auto" w:fill="FFFFFF"/>
          <w:lang w:val="en-US" w:eastAsia="zh-CN" w:bidi="ar"/>
        </w:rPr>
        <w:t>（三）合理编制财政预算。</w:t>
      </w:r>
      <w:r>
        <w:rPr>
          <w:rFonts w:hint="eastAsia" w:ascii="仿宋" w:hAnsi="仿宋" w:eastAsia="仿宋" w:cs="仿宋"/>
          <w:i w:val="0"/>
          <w:iCs w:val="0"/>
          <w:caps w:val="0"/>
          <w:color w:val="000000"/>
          <w:spacing w:val="0"/>
          <w:kern w:val="0"/>
          <w:sz w:val="32"/>
          <w:szCs w:val="32"/>
          <w:shd w:val="clear" w:color="auto" w:fill="FFFFFF"/>
          <w:lang w:val="en-US" w:eastAsia="zh-CN" w:bidi="ar"/>
        </w:rPr>
        <w:t>单位应该结合上年度预算执行情况及本年度预算收支变化因素来编制本年度预算，充分考虑在执行的过程中可能发生的问题，加强预算的科学性、可操作性，减少或避免预算调整，提高资金使用效率。</w:t>
      </w:r>
    </w:p>
    <w:p w14:paraId="468CB7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rPr>
      </w:pPr>
    </w:p>
    <w:p w14:paraId="6D82B4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九、其他需要说明的情况</w:t>
      </w:r>
    </w:p>
    <w:p w14:paraId="3A727A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lang w:eastAsia="zh-CN"/>
        </w:rPr>
        <w:t>无</w:t>
      </w:r>
    </w:p>
    <w:p w14:paraId="0B70F9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报告应包括以下附件：</w:t>
      </w:r>
    </w:p>
    <w:p w14:paraId="69F53B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rPr>
        <w:t>部门整体支出绩效评价基础数据表</w:t>
      </w:r>
      <w:r>
        <w:rPr>
          <w:rFonts w:hint="eastAsia" w:ascii="仿宋" w:hAnsi="仿宋" w:eastAsia="仿宋" w:cs="仿宋"/>
          <w:i w:val="0"/>
          <w:iCs w:val="0"/>
          <w:caps w:val="0"/>
          <w:color w:val="000000"/>
          <w:spacing w:val="0"/>
          <w:sz w:val="32"/>
          <w:szCs w:val="32"/>
          <w:shd w:val="clear" w:fill="FFFFFF"/>
          <w:lang w:val="en-US" w:eastAsia="zh-CN"/>
        </w:rPr>
        <w:t xml:space="preserve">  </w:t>
      </w:r>
    </w:p>
    <w:p w14:paraId="63A8A0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2.</w:t>
      </w:r>
      <w:r>
        <w:rPr>
          <w:rFonts w:hint="eastAsia" w:ascii="仿宋" w:hAnsi="仿宋" w:eastAsia="仿宋" w:cs="仿宋"/>
          <w:i w:val="0"/>
          <w:iCs w:val="0"/>
          <w:caps w:val="0"/>
          <w:color w:val="000000"/>
          <w:spacing w:val="0"/>
          <w:sz w:val="32"/>
          <w:szCs w:val="32"/>
          <w:shd w:val="clear" w:fill="FFFFFF"/>
        </w:rPr>
        <w:t>部门整体支出绩效自评表</w:t>
      </w:r>
    </w:p>
    <w:p w14:paraId="1FB809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3、项目支出绩效自评表（每个项目支出一张表！）</w:t>
      </w:r>
    </w:p>
    <w:p w14:paraId="3B3390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 w:hAnsi="仿宋" w:eastAsia="仿宋" w:cs="仿宋"/>
          <w:i w:val="0"/>
          <w:iCs w:val="0"/>
          <w:caps w:val="0"/>
          <w:color w:val="000000"/>
          <w:spacing w:val="0"/>
          <w:sz w:val="32"/>
          <w:szCs w:val="32"/>
          <w:shd w:val="clear" w:fill="FFFFFF"/>
          <w:lang w:val="en-US" w:eastAsia="zh-CN"/>
        </w:rPr>
      </w:pPr>
    </w:p>
    <w:p w14:paraId="475C0E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24"/>
          <w:szCs w:val="24"/>
        </w:rPr>
      </w:pPr>
    </w:p>
    <w:p w14:paraId="00BF52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24"/>
          <w:szCs w:val="24"/>
        </w:rPr>
      </w:pPr>
    </w:p>
    <w:p w14:paraId="7DBCE6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24"/>
          <w:szCs w:val="24"/>
        </w:rPr>
      </w:pPr>
    </w:p>
    <w:p w14:paraId="2BF6EA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E664E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592D49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99018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4517ED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5DC57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9C914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45249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35489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69CE5E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47121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7BE452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p>
    <w:p w14:paraId="0BBDD8C3">
      <w:pPr>
        <w:jc w:val="left"/>
        <w:rPr>
          <w:rFonts w:hint="eastAsia" w:ascii="仿宋" w:hAnsi="仿宋" w:eastAsia="仿宋" w:cs="仿宋"/>
          <w:b/>
          <w:bCs/>
          <w:sz w:val="30"/>
          <w:szCs w:val="30"/>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901831"/>
    <w:multiLevelType w:val="singleLevel"/>
    <w:tmpl w:val="23901831"/>
    <w:lvl w:ilvl="0" w:tentative="0">
      <w:start w:val="2"/>
      <w:numFmt w:val="chineseCounting"/>
      <w:suff w:val="nothing"/>
      <w:lvlText w:val="（%1）"/>
      <w:lvlJc w:val="left"/>
      <w:rPr>
        <w:rFonts w:hint="eastAsia"/>
      </w:rPr>
    </w:lvl>
  </w:abstractNum>
  <w:abstractNum w:abstractNumId="1">
    <w:nsid w:val="312060B7"/>
    <w:multiLevelType w:val="singleLevel"/>
    <w:tmpl w:val="312060B7"/>
    <w:lvl w:ilvl="0" w:tentative="0">
      <w:start w:val="3"/>
      <w:numFmt w:val="chineseCounting"/>
      <w:suff w:val="nothing"/>
      <w:lvlText w:val="%1、"/>
      <w:lvlJc w:val="left"/>
      <w:rPr>
        <w:rFonts w:hint="eastAsia"/>
      </w:rPr>
    </w:lvl>
  </w:abstractNum>
  <w:abstractNum w:abstractNumId="2">
    <w:nsid w:val="5F1A0F6F"/>
    <w:multiLevelType w:val="singleLevel"/>
    <w:tmpl w:val="5F1A0F6F"/>
    <w:lvl w:ilvl="0" w:tentative="0">
      <w:start w:val="8"/>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0ZjcwOTY5NGNkMDdiMGIxYWM3MjVjOWFmMDUwZGIifQ=="/>
    <w:docVar w:name="KSO_WPS_MARK_KEY" w:val="2cad2da4-8c74-4208-b950-09c4ddb6f378"/>
  </w:docVars>
  <w:rsids>
    <w:rsidRoot w:val="00000000"/>
    <w:rsid w:val="108C7C5F"/>
    <w:rsid w:val="11C81BD2"/>
    <w:rsid w:val="1EA33F65"/>
    <w:rsid w:val="269E5DD8"/>
    <w:rsid w:val="271A698D"/>
    <w:rsid w:val="374A0071"/>
    <w:rsid w:val="3C635E56"/>
    <w:rsid w:val="4B72396B"/>
    <w:rsid w:val="7AA30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6">
    <w:name w:val="List Paragraph"/>
    <w:basedOn w:val="1"/>
    <w:autoRedefine/>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1949</Words>
  <Characters>2068</Characters>
  <Lines>0</Lines>
  <Paragraphs>0</Paragraphs>
  <TotalTime>4</TotalTime>
  <ScaleCrop>false</ScaleCrop>
  <LinksUpToDate>false</LinksUpToDate>
  <CharactersWithSpaces>2076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WPS_1576067897</cp:lastModifiedBy>
  <dcterms:modified xsi:type="dcterms:W3CDTF">2025-10-21T03:08:29Z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2A6D7697B9E64B4BAB8B7C4AFEAC18BE_13</vt:lpwstr>
  </property>
  <property fmtid="{D5CDD505-2E9C-101B-9397-08002B2CF9AE}" pid="4" name="KSOTemplateDocerSaveRecord">
    <vt:lpwstr>eyJoZGlkIjoiYjUyYWM4ZjAwYzYwOTczYTdkNjYwMDNiZDQ1MWM2MTYiLCJ1c2VySWQiOiI3MzM1MTM0MTYifQ==</vt:lpwstr>
  </property>
</Properties>
</file>