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eastAsia" w:eastAsia="方正小标宋_GBK" w:cs="Times New Roman"/>
          <w:sz w:val="52"/>
          <w:szCs w:val="52"/>
          <w:lang w:eastAsia="zh-CN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城步</w:t>
      </w:r>
      <w:bookmarkStart w:id="0" w:name="_GoBack"/>
      <w:bookmarkEnd w:id="0"/>
      <w:r>
        <w:rPr>
          <w:rFonts w:hint="eastAsia" w:eastAsia="方正小标宋_GBK" w:cs="Times New Roman"/>
          <w:sz w:val="52"/>
          <w:szCs w:val="52"/>
          <w:lang w:eastAsia="zh-CN"/>
        </w:rPr>
        <w:t>苗族自治县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eastAsia="方正小标宋_GBK" w:cs="Times New Roman"/>
          <w:sz w:val="52"/>
          <w:szCs w:val="52"/>
          <w:lang w:eastAsia="zh-CN"/>
        </w:rPr>
        <w:t>蒋坊超限检测站部门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15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/>
    <w:p/>
    <w:p/>
    <w:p/>
    <w:p/>
    <w:p/>
    <w:p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城步苗族自治县蒋坊超限检测站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>
      <w:pPr>
        <w:ind w:firstLine="960" w:firstLineChars="300"/>
        <w:rPr>
          <w:rFonts w:hint="eastAsia" w:ascii="楷体_GB2312" w:eastAsia="仿宋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是具有行政职能的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副</w:t>
      </w:r>
      <w:r>
        <w:rPr>
          <w:rFonts w:hint="eastAsia" w:ascii="仿宋" w:hAnsi="仿宋" w:eastAsia="仿宋" w:cs="仿宋"/>
          <w:sz w:val="32"/>
          <w:szCs w:val="32"/>
        </w:rPr>
        <w:t>科级公益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类一级全额拨款预算事业单位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根据编委核定，我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</w:rPr>
        <w:t>内设股室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个，所属二级单位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个，内设股室分别是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综合股</w:t>
      </w:r>
      <w:r>
        <w:rPr>
          <w:rFonts w:hint="eastAsia" w:ascii="仿宋" w:hAnsi="仿宋" w:eastAsia="仿宋" w:cs="仿宋"/>
          <w:sz w:val="32"/>
          <w:szCs w:val="32"/>
        </w:rPr>
        <w:t>、人事股、财务审计股、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检测股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</w:rPr>
        <w:t>编制人数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人，实有人数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（三）主要职能职责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25" w:lineRule="atLeast"/>
        <w:ind w:left="0" w:right="0" w:firstLine="960" w:firstLineChars="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为保障城步县境内公路完好、安全和畅通，对在公路上行驶的车辆进行超限检测，协助交通行政综合执法部门认定、查处和纠正违法行为。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25" w:lineRule="atLeast"/>
        <w:ind w:left="0" w:right="0" w:firstLine="960" w:firstLineChars="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Calibri" w:hAnsi="Calibri" w:eastAsia="仿宋" w:cs="Calibri"/>
          <w:kern w:val="2"/>
          <w:sz w:val="32"/>
          <w:szCs w:val="32"/>
          <w:lang w:val="en-US" w:eastAsia="zh-CN" w:bidi="ar-SA"/>
        </w:rPr>
        <w:t>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综合股。负责办公室、后勤、法制、信息设备管理、数据统计、车辆、安全生产、档案、信访、工会。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25" w:lineRule="atLeast"/>
        <w:ind w:left="0" w:right="0" w:firstLine="960" w:firstLineChars="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人事股。负责党建、团建、劳资、人事、计划生育绩效考核。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25" w:lineRule="atLeast"/>
        <w:ind w:left="0" w:right="0" w:firstLine="960" w:firstLineChars="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Calibri" w:hAnsi="Calibri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财务审计股。负责全站财务制度建立与执行、预算管理、财务核算与监督、财务分析、资金调度、固定资产核算、财务审计、会计信息化建设、会计档案管理等工作。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25" w:lineRule="atLeast"/>
        <w:ind w:left="0" w:right="0" w:firstLine="960" w:firstLineChars="300"/>
        <w:jc w:val="both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Calibri" w:hAnsi="Calibri" w:eastAsia="仿宋" w:cs="Calibri"/>
          <w:kern w:val="2"/>
          <w:sz w:val="32"/>
          <w:szCs w:val="32"/>
          <w:lang w:val="en-US" w:eastAsia="zh-CN" w:bidi="ar-SA"/>
        </w:rPr>
        <w:t>④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测股。分四个组、四班三运转24小时值班制。对由执法部门指挥引导的货运车辆进行超限检测、认定；向相关执法部门提供检测数据，配合执法部门对当事人超限运输车辆采取卸载、分装等消除违法状态的改正措施；参与突发事件的应急处理：完成公路法律法规赋予的其他相关职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8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年初预算安排收入</w:t>
      </w:r>
      <w:r>
        <w:rPr>
          <w:rFonts w:hint="eastAsia" w:cs="Times New Roman"/>
          <w:sz w:val="32"/>
          <w:szCs w:val="32"/>
          <w:lang w:val="en-US" w:eastAsia="zh-CN"/>
        </w:rPr>
        <w:t>278.69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278.69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</w:t>
      </w:r>
      <w:r>
        <w:rPr>
          <w:rFonts w:hint="eastAsia" w:cs="Times New Roman"/>
          <w:sz w:val="32"/>
          <w:szCs w:val="32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年初预算安排支出</w:t>
      </w:r>
      <w:r>
        <w:rPr>
          <w:rFonts w:hint="eastAsia" w:cs="Times New Roman"/>
          <w:sz w:val="32"/>
          <w:szCs w:val="32"/>
          <w:lang w:val="en-US" w:eastAsia="zh-CN"/>
        </w:rPr>
        <w:t>278.69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221.09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57.6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决算总收入</w:t>
      </w:r>
      <w:r>
        <w:rPr>
          <w:rFonts w:hint="eastAsia" w:cs="Times New Roman"/>
          <w:sz w:val="32"/>
          <w:szCs w:val="32"/>
          <w:lang w:val="en-US" w:eastAsia="zh-CN"/>
        </w:rPr>
        <w:t>303.25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24.56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303.25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288.77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91.26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26.49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8.74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上级部门预算调整，经费增加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3.7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3.7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3.53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3.4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度政府采购支出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（一）综合评价结论。反映自评得分及评价等级。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严格按照省、市县相关考核要求，如期按时按质量完成各项工作指标。重点工作办结率100%。本年度绩效自评得分9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分，主要扣分原因为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群众满意度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）评价指标分析（或综合评价情况）。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2024年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，在县委、县政府的正确领导下，我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坚持以习近平新时代中国特色社会主义思想为指导，深入贯彻落实党的二十大精神，坚持稳中求进工作总基调，苦干实干、奋勇争先，统筹推进党的建设、乡村振兴、社会治理等各项工作，全力推动各项事业发展提质增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七、存在的问题及原因分析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主要反映各种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预算支出执行偏离绩效目标的情况，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并分析其原因。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下一步改进措施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（一）严格控制三公经费，公务接待尽量在单位食堂开餐，职工出差乘坐公共交通工具，减少公务用车开支。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（二）强化学习教育,增强自律意识, 加强财务人员队伍建设，健全单位财务管理制度，规范单位财务行为。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（三）及时受理相关业务，在规定时限内办结，加大人员培训力度，端正思想认识优化服务质量，提高社会公众及服务对象的满意度。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437A3"/>
    <w:multiLevelType w:val="singleLevel"/>
    <w:tmpl w:val="01D437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NTQxZTdhYTIzNzQ1MzkyNGExNzZiZDMwOWNmMmYifQ=="/>
    <w:docVar w:name="KSO_WPS_MARK_KEY" w:val="2cad2da4-8c74-4208-b950-09c4ddb6f378"/>
  </w:docVars>
  <w:rsids>
    <w:rsidRoot w:val="00000000"/>
    <w:rsid w:val="03485E7F"/>
    <w:rsid w:val="04A80378"/>
    <w:rsid w:val="0AFD0EBC"/>
    <w:rsid w:val="127C1C96"/>
    <w:rsid w:val="16B220A2"/>
    <w:rsid w:val="1E2408CE"/>
    <w:rsid w:val="1EA33F65"/>
    <w:rsid w:val="269E5DD8"/>
    <w:rsid w:val="2AC90BF0"/>
    <w:rsid w:val="2B5758A8"/>
    <w:rsid w:val="306A22A0"/>
    <w:rsid w:val="33FE342B"/>
    <w:rsid w:val="36160F8C"/>
    <w:rsid w:val="36BD0999"/>
    <w:rsid w:val="37B530DC"/>
    <w:rsid w:val="37B8329F"/>
    <w:rsid w:val="382F12CD"/>
    <w:rsid w:val="39AE1450"/>
    <w:rsid w:val="3A8A5A19"/>
    <w:rsid w:val="4B72396B"/>
    <w:rsid w:val="4E802F63"/>
    <w:rsid w:val="52291B63"/>
    <w:rsid w:val="5D3509B9"/>
    <w:rsid w:val="5DBC5072"/>
    <w:rsid w:val="6089376F"/>
    <w:rsid w:val="70131A31"/>
    <w:rsid w:val="7023779A"/>
    <w:rsid w:val="73000323"/>
    <w:rsid w:val="73147C4D"/>
    <w:rsid w:val="7542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/>
      <w:ind w:firstLine="420" w:firstLineChars="200"/>
    </w:pPr>
    <w:rPr>
      <w:rFonts w:eastAsia="宋体"/>
    </w:rPr>
  </w:style>
  <w:style w:type="paragraph" w:styleId="3">
    <w:name w:val="Body Text Indent"/>
    <w:basedOn w:val="1"/>
    <w:qFormat/>
    <w:uiPriority w:val="99"/>
    <w:pPr>
      <w:ind w:firstLine="600"/>
    </w:pPr>
    <w:rPr>
      <w:rFonts w:eastAsia="仿宋_GB2312"/>
      <w:sz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1477</Words>
  <Characters>1579</Characters>
  <Lines>0</Lines>
  <Paragraphs>0</Paragraphs>
  <TotalTime>10</TotalTime>
  <ScaleCrop>false</ScaleCrop>
  <LinksUpToDate>false</LinksUpToDate>
  <CharactersWithSpaces>1589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Administrator</cp:lastModifiedBy>
  <cp:lastPrinted>2025-04-15T06:38:29Z</cp:lastPrinted>
  <dcterms:modified xsi:type="dcterms:W3CDTF">2025-04-15T06:41:34Z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D1BA0F076F3F45F5A4EC113A94463AE6_12</vt:lpwstr>
  </property>
</Properties>
</file>