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附件1</w:t>
      </w:r>
    </w:p>
    <w:p>
      <w:pPr>
        <w:spacing w:line="600" w:lineRule="exact"/>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p>
    <w:p>
      <w:pPr>
        <w:jc w:val="center"/>
        <w:rPr>
          <w:rFonts w:ascii="Times New Roman" w:hAnsi="Times New Roman" w:eastAsia="方正小标宋_GBK" w:cs="Times New Roman"/>
          <w:sz w:val="52"/>
          <w:szCs w:val="52"/>
        </w:rPr>
      </w:pPr>
      <w:r>
        <w:rPr>
          <w:rFonts w:ascii="Times New Roman" w:hAnsi="Times New Roman" w:eastAsia="方正小标宋_GBK" w:cs="Times New Roman"/>
          <w:sz w:val="52"/>
          <w:szCs w:val="52"/>
        </w:rPr>
        <w:t>202</w:t>
      </w:r>
      <w:r>
        <w:rPr>
          <w:rFonts w:hint="eastAsia" w:eastAsia="方正小标宋_GBK" w:cs="Times New Roman"/>
          <w:sz w:val="52"/>
          <w:szCs w:val="52"/>
          <w:lang w:val="en-US" w:eastAsia="zh-CN"/>
        </w:rPr>
        <w:t>3</w:t>
      </w:r>
      <w:r>
        <w:rPr>
          <w:rFonts w:ascii="Times New Roman" w:hAnsi="Times New Roman" w:eastAsia="方正小标宋_GBK" w:cs="Times New Roman"/>
          <w:sz w:val="52"/>
          <w:szCs w:val="52"/>
        </w:rPr>
        <w:t>年度</w:t>
      </w:r>
      <w:r>
        <w:rPr>
          <w:rFonts w:hint="eastAsia" w:eastAsia="方正小标宋_GBK" w:cs="Times New Roman"/>
          <w:sz w:val="52"/>
          <w:szCs w:val="52"/>
          <w:lang w:val="en-US" w:eastAsia="zh-CN"/>
        </w:rPr>
        <w:t>西岩镇人民政府</w:t>
      </w:r>
      <w:r>
        <w:rPr>
          <w:rFonts w:ascii="Times New Roman" w:hAnsi="Times New Roman" w:eastAsia="方正小标宋_GBK" w:cs="Times New Roman"/>
          <w:sz w:val="52"/>
          <w:szCs w:val="52"/>
        </w:rPr>
        <w:t>整体支出绩效自评报告</w:t>
      </w:r>
    </w:p>
    <w:p>
      <w:pPr>
        <w:jc w:val="center"/>
        <w:rPr>
          <w:rFonts w:ascii="Times New Roman" w:hAnsi="Times New Roman" w:eastAsia="方正小标宋_GBK" w:cs="Times New Roman"/>
          <w:b/>
          <w:sz w:val="52"/>
          <w:szCs w:val="5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jc w:val="center"/>
        <w:rPr>
          <w:rFonts w:hint="default" w:ascii="仿宋" w:hAnsi="仿宋" w:eastAsia="仿宋" w:cs="仿宋"/>
          <w:sz w:val="40"/>
          <w:szCs w:val="40"/>
          <w:u w:val="single"/>
          <w:lang w:val="en-US" w:eastAsia="zh-CN"/>
        </w:rPr>
      </w:pPr>
      <w:r>
        <w:rPr>
          <w:rFonts w:hint="eastAsia" w:ascii="仿宋" w:hAnsi="仿宋" w:eastAsia="仿宋" w:cs="仿宋"/>
          <w:sz w:val="40"/>
          <w:szCs w:val="40"/>
        </w:rPr>
        <w:t>单位名称：</w:t>
      </w:r>
      <w:r>
        <w:rPr>
          <w:rFonts w:hint="eastAsia" w:ascii="仿宋" w:hAnsi="仿宋" w:eastAsia="仿宋" w:cs="仿宋"/>
          <w:sz w:val="40"/>
          <w:szCs w:val="40"/>
          <w:u w:val="single"/>
          <w:lang w:val="en-US" w:eastAsia="zh-CN"/>
        </w:rPr>
        <w:t xml:space="preserve">   盖章   </w:t>
      </w:r>
    </w:p>
    <w:p>
      <w:pPr>
        <w:spacing w:line="600" w:lineRule="exact"/>
        <w:ind w:firstLine="2800" w:firstLineChars="700"/>
        <w:jc w:val="both"/>
        <w:rPr>
          <w:rFonts w:hint="eastAsia" w:ascii="仿宋" w:hAnsi="仿宋" w:eastAsia="仿宋" w:cs="仿宋"/>
          <w:sz w:val="40"/>
          <w:szCs w:val="40"/>
        </w:rPr>
      </w:pPr>
      <w:r>
        <w:rPr>
          <w:rFonts w:hint="eastAsia" w:ascii="仿宋" w:hAnsi="仿宋" w:eastAsia="仿宋" w:cs="仿宋"/>
          <w:sz w:val="40"/>
          <w:szCs w:val="40"/>
          <w:lang w:val="en-US" w:eastAsia="zh-CN"/>
        </w:rPr>
        <w:t>2024</w:t>
      </w:r>
      <w:r>
        <w:rPr>
          <w:rFonts w:hint="eastAsia" w:ascii="仿宋" w:hAnsi="仿宋" w:eastAsia="仿宋" w:cs="仿宋"/>
          <w:sz w:val="40"/>
          <w:szCs w:val="40"/>
        </w:rPr>
        <w:t>年</w:t>
      </w:r>
      <w:r>
        <w:rPr>
          <w:rFonts w:hint="eastAsia" w:ascii="仿宋" w:hAnsi="仿宋" w:eastAsia="仿宋" w:cs="仿宋"/>
          <w:sz w:val="40"/>
          <w:szCs w:val="40"/>
          <w:lang w:val="en-US" w:eastAsia="zh-CN"/>
        </w:rPr>
        <w:t xml:space="preserve"> 5 </w:t>
      </w:r>
      <w:r>
        <w:rPr>
          <w:rFonts w:hint="eastAsia" w:ascii="仿宋" w:hAnsi="仿宋" w:eastAsia="仿宋" w:cs="仿宋"/>
          <w:sz w:val="40"/>
          <w:szCs w:val="40"/>
        </w:rPr>
        <w:t>月</w:t>
      </w:r>
      <w:r>
        <w:rPr>
          <w:rFonts w:hint="eastAsia" w:ascii="仿宋" w:hAnsi="仿宋" w:eastAsia="仿宋" w:cs="仿宋"/>
          <w:sz w:val="40"/>
          <w:szCs w:val="40"/>
          <w:lang w:val="en-US" w:eastAsia="zh-CN"/>
        </w:rPr>
        <w:t>31</w:t>
      </w:r>
      <w:r>
        <w:rPr>
          <w:rFonts w:hint="eastAsia" w:ascii="仿宋" w:hAnsi="仿宋" w:eastAsia="仿宋" w:cs="仿宋"/>
          <w:sz w:val="40"/>
          <w:szCs w:val="40"/>
        </w:rPr>
        <w:t>日</w:t>
      </w:r>
    </w:p>
    <w:p/>
    <w:p>
      <w:pPr>
        <w:rPr>
          <w:rFonts w:hint="eastAsia" w:eastAsia="仿宋_GB2312"/>
          <w:lang w:val="en-US" w:eastAsia="zh-CN"/>
        </w:rPr>
      </w:pPr>
      <w:r>
        <w:rPr>
          <w:rFonts w:hint="eastAsia"/>
          <w:lang w:val="en-US" w:eastAsia="zh-CN"/>
        </w:rPr>
        <w:t xml:space="preserve"> </w:t>
      </w:r>
    </w:p>
    <w:p/>
    <w:p/>
    <w:p/>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202</w:t>
      </w: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3</w:t>
      </w:r>
      <w:r>
        <w:rPr>
          <w:rFonts w:hint="eastAsia" w:ascii="方正小标宋_GBK" w:hAnsi="方正小标宋_GBK" w:eastAsia="方正小标宋_GBK" w:cs="方正小标宋_GBK"/>
          <w:i w:val="0"/>
          <w:iCs w:val="0"/>
          <w:caps w:val="0"/>
          <w:color w:val="000000"/>
          <w:spacing w:val="0"/>
          <w:sz w:val="44"/>
          <w:szCs w:val="44"/>
          <w:shd w:val="clear" w:fill="FFFFFF"/>
        </w:rPr>
        <w:t>年度</w:t>
      </w: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西岩镇人民政府</w:t>
      </w:r>
      <w:r>
        <w:rPr>
          <w:rFonts w:hint="eastAsia" w:ascii="方正小标宋_GBK" w:hAnsi="方正小标宋_GBK" w:eastAsia="方正小标宋_GBK" w:cs="方正小标宋_GBK"/>
          <w:i w:val="0"/>
          <w:iCs w:val="0"/>
          <w:caps w:val="0"/>
          <w:color w:val="000000"/>
          <w:spacing w:val="0"/>
          <w:sz w:val="44"/>
          <w:szCs w:val="44"/>
          <w:shd w:val="clear" w:fill="FFFFFF"/>
        </w:rPr>
        <w:t>整体支出绩效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自评报告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ascii="仿宋_GB2312" w:eastAsia="仿宋_GB2312" w:cs="仿宋_GB2312"/>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eastAsia="仿宋_GB2312"/>
          <w:color w:val="000000"/>
          <w:sz w:val="32"/>
          <w:szCs w:val="32"/>
          <w:lang w:val="en-US" w:eastAsia="zh-CN"/>
        </w:rPr>
        <w:t>机构设置：</w:t>
      </w:r>
      <w:r>
        <w:rPr>
          <w:rFonts w:hint="eastAsia" w:eastAsia="仿宋_GB2312"/>
          <w:color w:val="000000"/>
          <w:sz w:val="32"/>
          <w:szCs w:val="32"/>
        </w:rPr>
        <w:t>西岩镇是一个行政机关单位。根据编委核定，我镇内设</w:t>
      </w:r>
      <w:r>
        <w:rPr>
          <w:rFonts w:hint="eastAsia"/>
          <w:color w:val="000000"/>
          <w:sz w:val="32"/>
          <w:szCs w:val="32"/>
          <w:lang w:val="en-US" w:eastAsia="zh-CN"/>
        </w:rPr>
        <w:t>7</w:t>
      </w:r>
      <w:r>
        <w:rPr>
          <w:rFonts w:hint="eastAsia" w:eastAsia="仿宋_GB2312"/>
          <w:color w:val="000000"/>
          <w:sz w:val="32"/>
          <w:szCs w:val="32"/>
        </w:rPr>
        <w:t>个部门站所，内设部门站所分别是1、行政部门；2、财政所；3、退役军人服务站；4、社会事务综合服务中心；5、农业综合服务中心；6、政务便民服务中心</w:t>
      </w:r>
      <w:r>
        <w:rPr>
          <w:rFonts w:hint="eastAsia"/>
          <w:color w:val="000000"/>
          <w:sz w:val="32"/>
          <w:szCs w:val="32"/>
          <w:lang w:eastAsia="zh-CN"/>
        </w:rPr>
        <w:t>；</w:t>
      </w:r>
      <w:r>
        <w:rPr>
          <w:rFonts w:hint="eastAsia"/>
          <w:color w:val="000000"/>
          <w:sz w:val="32"/>
          <w:szCs w:val="32"/>
          <w:lang w:val="en-US" w:eastAsia="zh-CN"/>
        </w:rPr>
        <w:t>7、行政执法大队。</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color w:val="000000"/>
          <w:sz w:val="32"/>
          <w:szCs w:val="32"/>
          <w:lang w:val="en-US" w:eastAsia="zh-CN"/>
        </w:rPr>
        <w:t>人员构成：</w:t>
      </w:r>
      <w:r>
        <w:rPr>
          <w:rFonts w:hint="eastAsia" w:eastAsia="仿宋_GB2312"/>
          <w:color w:val="000000"/>
          <w:sz w:val="32"/>
          <w:szCs w:val="32"/>
        </w:rPr>
        <w:t>西岩镇人民政府为一级预算单位，无下属独立预算机构。西岩镇人民政府实有人数121人；其中行政实有数56人；财政所实有数3人；退役军人事务站实有数4人；政务（便民）服务中心实有数2人；农业综合服务中心实有数37人；社会事务综合服务中心实有数11人。综合执法大队实有数8人。</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eastAsia="仿宋_GB2312"/>
          <w:color w:val="000000"/>
          <w:sz w:val="32"/>
          <w:szCs w:val="32"/>
        </w:rPr>
        <w:t>拟定发展战略，执行全镇的社会发展计划、预算，维护社会秩序，促进区域协调发展</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绩效目标设定情况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eastAsia="仿宋_GB2312"/>
          <w:color w:val="000000"/>
          <w:sz w:val="32"/>
          <w:szCs w:val="32"/>
          <w:lang w:val="en-US" w:eastAsia="zh-CN"/>
        </w:rPr>
        <w:t>年初绩效目标：根据省、市、县相关目标及本部门的整体绩效目标特制订符合政策法规和本单位实际情况:①经济发展与重点工程；②深化改革与依法治镇；③社会治理与民生保障；④文化建设与生态保护；⑤从严治党与机关管理；⑥公众评估与内部评估。在完成部门职能目标中合理分配人、财、物，使之达到较高的工作效率和水平。</w:t>
      </w:r>
    </w:p>
    <w:p>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pPr>
        <w:pStyle w:val="7"/>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1.部门预算情况</w:t>
      </w:r>
    </w:p>
    <w:p>
      <w:pPr>
        <w:keepNext w:val="0"/>
        <w:keepLines w:val="0"/>
        <w:widowControl/>
        <w:suppressLineNumbers w:val="0"/>
        <w:ind w:firstLine="640" w:firstLineChars="200"/>
        <w:jc w:val="left"/>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cs="Times New Roman"/>
          <w:sz w:val="32"/>
          <w:szCs w:val="32"/>
          <w:lang w:val="en-US" w:eastAsia="zh-CN"/>
        </w:rPr>
        <w:t>1484.36</w:t>
      </w:r>
      <w:r>
        <w:rPr>
          <w:rFonts w:hint="default" w:ascii="Times New Roman" w:hAnsi="Times New Roman" w:eastAsia="仿宋_GB2312" w:cs="Times New Roman"/>
          <w:sz w:val="32"/>
          <w:szCs w:val="32"/>
          <w:lang w:eastAsia="zh-CN"/>
        </w:rPr>
        <w:t>万元，其中一般公共财政拨款</w:t>
      </w:r>
      <w:r>
        <w:rPr>
          <w:rFonts w:hint="eastAsia" w:cs="Times New Roman"/>
          <w:sz w:val="32"/>
          <w:szCs w:val="32"/>
          <w:lang w:val="en-US" w:eastAsia="zh-CN"/>
        </w:rPr>
        <w:t>1484.36</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r>
        <w:rPr>
          <w:rFonts w:ascii="仿宋" w:hAnsi="仿宋" w:eastAsia="仿宋" w:cs="仿宋"/>
          <w:color w:val="000000"/>
          <w:kern w:val="0"/>
          <w:sz w:val="31"/>
          <w:szCs w:val="31"/>
          <w:lang w:val="en-US" w:eastAsia="zh-CN" w:bidi="ar"/>
        </w:rPr>
        <w:t xml:space="preserve">政府性基金预算拨款 </w:t>
      </w:r>
      <w:r>
        <w:rPr>
          <w:rFonts w:hint="eastAsia" w:ascii="仿宋" w:hAnsi="仿宋" w:eastAsia="仿宋" w:cs="仿宋"/>
          <w:color w:val="000000"/>
          <w:kern w:val="0"/>
          <w:sz w:val="31"/>
          <w:szCs w:val="31"/>
          <w:lang w:val="en-US" w:eastAsia="zh-CN" w:bidi="ar"/>
        </w:rPr>
        <w:t>0.00 万元</w:t>
      </w:r>
      <w:r>
        <w:rPr>
          <w:rFonts w:hint="default" w:ascii="Times New Roman" w:hAnsi="Times New Roman" w:eastAsia="仿宋_GB2312" w:cs="Times New Roman"/>
          <w:sz w:val="32"/>
          <w:szCs w:val="32"/>
          <w:lang w:eastAsia="zh-CN"/>
        </w:rPr>
        <w:t>；2023年年初预算安排支出</w:t>
      </w:r>
      <w:r>
        <w:rPr>
          <w:rFonts w:hint="eastAsia" w:cs="Times New Roman"/>
          <w:sz w:val="32"/>
          <w:szCs w:val="32"/>
          <w:lang w:val="en-US" w:eastAsia="zh-CN"/>
        </w:rPr>
        <w:t>1484.36</w:t>
      </w:r>
      <w:r>
        <w:rPr>
          <w:rFonts w:hint="default" w:ascii="Times New Roman" w:hAnsi="Times New Roman" w:eastAsia="仿宋_GB2312" w:cs="Times New Roman"/>
          <w:sz w:val="32"/>
          <w:szCs w:val="32"/>
          <w:lang w:eastAsia="zh-CN"/>
        </w:rPr>
        <w:t>万元</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其中：基本支出</w:t>
      </w:r>
      <w:r>
        <w:rPr>
          <w:rFonts w:hint="eastAsia" w:cs="Times New Roman"/>
          <w:sz w:val="32"/>
          <w:szCs w:val="32"/>
          <w:lang w:val="en-US" w:eastAsia="zh-CN"/>
        </w:rPr>
        <w:t>1401.8</w:t>
      </w:r>
      <w:r>
        <w:rPr>
          <w:rFonts w:hint="default" w:ascii="Times New Roman" w:hAnsi="Times New Roman" w:eastAsia="仿宋_GB2312" w:cs="Times New Roman"/>
          <w:sz w:val="32"/>
          <w:szCs w:val="32"/>
          <w:lang w:eastAsia="zh-CN"/>
        </w:rPr>
        <w:t>万元，项目支出</w:t>
      </w:r>
      <w:r>
        <w:rPr>
          <w:rFonts w:hint="eastAsia" w:cs="Times New Roman"/>
          <w:sz w:val="32"/>
          <w:szCs w:val="32"/>
          <w:lang w:val="en-US" w:eastAsia="zh-CN"/>
        </w:rPr>
        <w:t>82.56</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2.部门决算情况（含年中预算追加情况）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2023年决算总收入</w:t>
      </w:r>
      <w:r>
        <w:rPr>
          <w:rFonts w:hint="eastAsia" w:cs="Times New Roman"/>
          <w:sz w:val="32"/>
          <w:szCs w:val="32"/>
          <w:lang w:val="en-US" w:eastAsia="zh-CN"/>
        </w:rPr>
        <w:t>3016.45</w:t>
      </w:r>
      <w:r>
        <w:rPr>
          <w:rFonts w:hint="default" w:ascii="Times New Roman" w:hAnsi="Times New Roman" w:eastAsia="仿宋_GB2312" w:cs="Times New Roman"/>
          <w:sz w:val="32"/>
          <w:szCs w:val="32"/>
          <w:lang w:eastAsia="zh-CN"/>
        </w:rPr>
        <w:t>万元，较预算增加</w:t>
      </w:r>
      <w:r>
        <w:rPr>
          <w:rFonts w:hint="eastAsia" w:cs="Times New Roman"/>
          <w:sz w:val="32"/>
          <w:szCs w:val="32"/>
          <w:lang w:val="en-US" w:eastAsia="zh-CN"/>
        </w:rPr>
        <w:t>1531.79</w:t>
      </w:r>
      <w:r>
        <w:rPr>
          <w:rFonts w:hint="default" w:ascii="Times New Roman" w:hAnsi="Times New Roman" w:eastAsia="仿宋_GB2312" w:cs="Times New Roman"/>
          <w:sz w:val="32"/>
          <w:szCs w:val="32"/>
          <w:lang w:eastAsia="zh-CN"/>
        </w:rPr>
        <w:t>万元，总支出</w:t>
      </w:r>
      <w:r>
        <w:rPr>
          <w:rFonts w:hint="eastAsia" w:cs="Times New Roman"/>
          <w:sz w:val="32"/>
          <w:szCs w:val="32"/>
          <w:lang w:val="en-US" w:eastAsia="zh-CN"/>
        </w:rPr>
        <w:t>3016.45</w:t>
      </w:r>
      <w:r>
        <w:rPr>
          <w:rFonts w:hint="default" w:ascii="Times New Roman" w:hAnsi="Times New Roman" w:eastAsia="仿宋_GB2312" w:cs="Times New Roman"/>
          <w:sz w:val="32"/>
          <w:szCs w:val="32"/>
          <w:lang w:eastAsia="zh-CN"/>
        </w:rPr>
        <w:t>万元，其中：基本支出</w:t>
      </w:r>
      <w:r>
        <w:rPr>
          <w:rFonts w:hint="eastAsia" w:cs="Times New Roman"/>
          <w:sz w:val="32"/>
          <w:szCs w:val="32"/>
          <w:lang w:val="en-US" w:eastAsia="zh-CN"/>
        </w:rPr>
        <w:t>3005.23</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99.63</w:t>
      </w:r>
      <w:r>
        <w:rPr>
          <w:rFonts w:hint="default" w:ascii="Times New Roman" w:hAnsi="Times New Roman" w:eastAsia="仿宋_GB2312" w:cs="Times New Roman"/>
          <w:sz w:val="32"/>
          <w:szCs w:val="32"/>
          <w:lang w:eastAsia="zh-CN"/>
        </w:rPr>
        <w:t>％；项目支出</w:t>
      </w:r>
      <w:r>
        <w:rPr>
          <w:rFonts w:hint="eastAsia" w:cs="Times New Roman"/>
          <w:sz w:val="32"/>
          <w:szCs w:val="32"/>
          <w:lang w:val="en-US" w:eastAsia="zh-CN"/>
        </w:rPr>
        <w:t>11.22</w:t>
      </w:r>
      <w:r>
        <w:rPr>
          <w:rFonts w:hint="default" w:ascii="Times New Roman" w:hAnsi="Times New Roman" w:eastAsia="仿宋_GB2312" w:cs="Times New Roman"/>
          <w:sz w:val="32"/>
          <w:szCs w:val="32"/>
          <w:lang w:eastAsia="zh-CN"/>
        </w:rPr>
        <w:t>万元，占总支出的</w:t>
      </w:r>
      <w:r>
        <w:rPr>
          <w:rFonts w:hint="eastAsia" w:cs="Times New Roman"/>
          <w:sz w:val="32"/>
          <w:szCs w:val="32"/>
          <w:lang w:val="en-US" w:eastAsia="zh-CN"/>
        </w:rPr>
        <w:t>0.37</w:t>
      </w:r>
      <w:r>
        <w:rPr>
          <w:rFonts w:hint="default" w:ascii="Times New Roman" w:hAnsi="Times New Roman" w:eastAsia="仿宋_GB2312" w:cs="Times New Roman"/>
          <w:sz w:val="32"/>
          <w:szCs w:val="32"/>
          <w:lang w:eastAsia="zh-CN"/>
        </w:rPr>
        <w:t>％。差异产生的主要原因是</w:t>
      </w:r>
      <w:r>
        <w:rPr>
          <w:rFonts w:hint="eastAsia" w:cs="Times New Roman"/>
          <w:sz w:val="32"/>
          <w:szCs w:val="32"/>
          <w:lang w:val="en-US" w:eastAsia="zh-CN"/>
        </w:rPr>
        <w:t>上级部门对本单位进行预算调整</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cs="Times New Roman"/>
          <w:sz w:val="32"/>
          <w:szCs w:val="32"/>
          <w:lang w:val="en-US" w:eastAsia="zh-CN"/>
        </w:rPr>
        <w:t>3.2</w:t>
      </w:r>
      <w:r>
        <w:rPr>
          <w:rFonts w:hint="default" w:ascii="Times New Roman" w:hAnsi="Times New Roman" w:eastAsia="仿宋_GB2312" w:cs="Times New Roman"/>
          <w:sz w:val="32"/>
          <w:szCs w:val="32"/>
          <w:lang w:eastAsia="zh-CN"/>
        </w:rPr>
        <w:t>万元，其中：因公出国（境）费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cs="Times New Roman"/>
          <w:sz w:val="32"/>
          <w:szCs w:val="32"/>
          <w:lang w:val="en-US" w:eastAsia="zh-CN"/>
        </w:rPr>
        <w:t>1</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2.2</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cs="Times New Roman"/>
          <w:sz w:val="32"/>
          <w:szCs w:val="32"/>
          <w:lang w:val="en-US" w:eastAsia="zh-CN"/>
        </w:rPr>
        <w:t>3.1</w:t>
      </w:r>
      <w:r>
        <w:rPr>
          <w:rFonts w:hint="default" w:ascii="Times New Roman" w:hAnsi="Times New Roman" w:eastAsia="仿宋_GB2312" w:cs="Times New Roman"/>
          <w:sz w:val="32"/>
          <w:szCs w:val="32"/>
          <w:lang w:eastAsia="zh-CN"/>
        </w:rPr>
        <w:t>元，其中：因公出国（境）费</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cs="Times New Roman"/>
          <w:sz w:val="32"/>
          <w:szCs w:val="32"/>
          <w:lang w:val="en-US" w:eastAsia="zh-CN"/>
        </w:rPr>
        <w:t>1</w:t>
      </w:r>
      <w:r>
        <w:rPr>
          <w:rFonts w:hint="default" w:ascii="Times New Roman" w:hAnsi="Times New Roman" w:eastAsia="仿宋_GB2312" w:cs="Times New Roman"/>
          <w:sz w:val="32"/>
          <w:szCs w:val="32"/>
          <w:lang w:eastAsia="zh-CN"/>
        </w:rPr>
        <w:t>万元，公务接待费</w:t>
      </w:r>
      <w:r>
        <w:rPr>
          <w:rFonts w:hint="eastAsia" w:cs="Times New Roman"/>
          <w:sz w:val="32"/>
          <w:szCs w:val="32"/>
          <w:lang w:val="en-US" w:eastAsia="zh-CN"/>
        </w:rPr>
        <w:t>2.1</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pPr>
        <w:spacing w:line="600" w:lineRule="exact"/>
        <w:ind w:firstLine="640" w:firstLineChars="200"/>
        <w:rPr>
          <w:rFonts w:hint="default" w:ascii="楷体_GB2312" w:eastAsia="楷体_GB2312" w:cs="楷体_GB2312"/>
          <w:i w:val="0"/>
          <w:iCs w:val="0"/>
          <w:caps w:val="0"/>
          <w:color w:val="000000"/>
          <w:spacing w:val="0"/>
          <w:sz w:val="32"/>
          <w:szCs w:val="32"/>
        </w:rPr>
      </w:pPr>
      <w:r>
        <w:rPr>
          <w:rFonts w:hint="default" w:ascii="Times New Roman" w:hAnsi="Times New Roman" w:eastAsia="仿宋_GB2312" w:cs="Times New Roman"/>
          <w:sz w:val="32"/>
          <w:szCs w:val="32"/>
          <w:lang w:eastAsia="zh-CN"/>
        </w:rPr>
        <w:t>2023年度政府采购支出</w:t>
      </w:r>
      <w:r>
        <w:rPr>
          <w:rFonts w:hint="eastAsia" w:cs="Times New Roman"/>
          <w:sz w:val="32"/>
          <w:szCs w:val="32"/>
          <w:lang w:val="en-US" w:eastAsia="zh-CN"/>
        </w:rPr>
        <w:t>194.52</w:t>
      </w:r>
      <w:r>
        <w:rPr>
          <w:rFonts w:hint="default" w:ascii="Times New Roman" w:hAnsi="Times New Roman" w:eastAsia="仿宋_GB2312" w:cs="Times New Roman"/>
          <w:sz w:val="32"/>
          <w:szCs w:val="32"/>
          <w:lang w:eastAsia="zh-CN"/>
        </w:rPr>
        <w:t>万元，其中：货物</w:t>
      </w:r>
      <w:r>
        <w:rPr>
          <w:rFonts w:hint="eastAsia" w:cs="Times New Roman"/>
          <w:sz w:val="32"/>
          <w:szCs w:val="32"/>
          <w:lang w:val="en-US" w:eastAsia="zh-CN"/>
        </w:rPr>
        <w:t>194.52</w:t>
      </w:r>
      <w:r>
        <w:rPr>
          <w:rFonts w:hint="default" w:ascii="Times New Roman" w:hAnsi="Times New Roman" w:eastAsia="仿宋_GB2312" w:cs="Times New Roman"/>
          <w:sz w:val="32"/>
          <w:szCs w:val="32"/>
          <w:lang w:eastAsia="zh-CN"/>
        </w:rPr>
        <w:t>元，工程</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万元，服务</w:t>
      </w:r>
      <w:r>
        <w:rPr>
          <w:rFonts w:hint="eastAsia" w:cs="Times New Roman"/>
          <w:sz w:val="32"/>
          <w:szCs w:val="32"/>
          <w:lang w:val="en-US" w:eastAsia="zh-CN"/>
        </w:rPr>
        <w:t>0</w:t>
      </w:r>
      <w:r>
        <w:rPr>
          <w:rFonts w:hint="default" w:ascii="Times New Roman" w:hAnsi="Times New Roman" w:eastAsia="仿宋_GB2312" w:cs="Times New Roman"/>
          <w:sz w:val="32"/>
          <w:szCs w:val="32"/>
          <w:lang w:eastAsia="zh-CN"/>
        </w:rPr>
        <w:t>万元。</w:t>
      </w:r>
      <w:bookmarkStart w:id="0" w:name="_GoBack"/>
      <w:bookmarkEnd w:id="0"/>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政府性基金预算支出情况</w:t>
      </w:r>
    </w:p>
    <w:p>
      <w:pPr>
        <w:pStyle w:val="7"/>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黑体" w:hAnsi="黑体" w:eastAsia="黑体" w:cs="黑体"/>
          <w:i w:val="0"/>
          <w:iCs w:val="0"/>
          <w:caps w:val="0"/>
          <w:color w:val="000000"/>
          <w:spacing w:val="0"/>
          <w:sz w:val="32"/>
          <w:szCs w:val="32"/>
          <w:shd w:val="clear" w:fill="FFFFFF"/>
        </w:rPr>
      </w:pPr>
      <w:r>
        <w:rPr>
          <w:rFonts w:hint="eastAsia" w:ascii="Times New Roman" w:hAnsi="Times New Roman" w:cs="Times New Roman"/>
          <w:color w:val="auto"/>
          <w:kern w:val="0"/>
          <w:sz w:val="32"/>
          <w:szCs w:val="32"/>
          <w:lang w:val="en-US" w:eastAsia="zh-CN" w:bidi="ar-SA"/>
        </w:rPr>
        <w:t>西岩</w:t>
      </w:r>
      <w:r>
        <w:rPr>
          <w:rFonts w:hint="eastAsia" w:ascii="Times New Roman" w:hAnsi="Times New Roman" w:eastAsia="仿宋_GB2312" w:cs="Times New Roman"/>
          <w:color w:val="auto"/>
          <w:kern w:val="0"/>
          <w:sz w:val="32"/>
          <w:szCs w:val="32"/>
          <w:lang w:val="en-US" w:eastAsia="zh-CN" w:bidi="ar-SA"/>
        </w:rPr>
        <w:t>镇人民政府 202</w:t>
      </w:r>
      <w:r>
        <w:rPr>
          <w:rFonts w:hint="eastAsia" w:cs="Times New Roman"/>
          <w:color w:val="auto"/>
          <w:kern w:val="0"/>
          <w:sz w:val="32"/>
          <w:szCs w:val="32"/>
          <w:lang w:val="en-US" w:eastAsia="zh-CN" w:bidi="ar-SA"/>
        </w:rPr>
        <w:t>3</w:t>
      </w:r>
      <w:r>
        <w:rPr>
          <w:rFonts w:hint="eastAsia" w:ascii="Times New Roman" w:hAnsi="Times New Roman" w:eastAsia="仿宋_GB2312" w:cs="Times New Roman"/>
          <w:color w:val="auto"/>
          <w:kern w:val="0"/>
          <w:sz w:val="32"/>
          <w:szCs w:val="32"/>
          <w:lang w:val="en-US" w:eastAsia="zh-CN" w:bidi="ar-SA"/>
        </w:rPr>
        <w:t>年度政府性基金财政拨款基本支出年初结转和结余0万元，本年收入</w:t>
      </w:r>
      <w:r>
        <w:rPr>
          <w:rFonts w:hint="eastAsia" w:cs="Times New Roman"/>
          <w:color w:val="auto"/>
          <w:kern w:val="0"/>
          <w:sz w:val="32"/>
          <w:szCs w:val="32"/>
          <w:lang w:val="en-US" w:eastAsia="zh-CN" w:bidi="ar-SA"/>
        </w:rPr>
        <w:t>76.5</w:t>
      </w:r>
      <w:r>
        <w:rPr>
          <w:rFonts w:hint="eastAsia" w:ascii="Times New Roman" w:hAnsi="Times New Roman" w:eastAsia="仿宋_GB2312" w:cs="Times New Roman"/>
          <w:color w:val="auto"/>
          <w:kern w:val="0"/>
          <w:sz w:val="32"/>
          <w:szCs w:val="32"/>
          <w:lang w:val="en-US" w:eastAsia="zh-CN" w:bidi="ar-SA"/>
        </w:rPr>
        <w:t>万元，本年支出</w:t>
      </w:r>
      <w:r>
        <w:rPr>
          <w:rFonts w:hint="eastAsia" w:cs="Times New Roman"/>
          <w:color w:val="auto"/>
          <w:kern w:val="0"/>
          <w:sz w:val="32"/>
          <w:szCs w:val="32"/>
          <w:lang w:val="en-US" w:eastAsia="zh-CN" w:bidi="ar-SA"/>
        </w:rPr>
        <w:t>76.5</w:t>
      </w:r>
      <w:r>
        <w:rPr>
          <w:rFonts w:hint="eastAsia" w:ascii="Times New Roman" w:hAnsi="Times New Roman" w:eastAsia="仿宋_GB2312" w:cs="Times New Roman"/>
          <w:color w:val="auto"/>
          <w:kern w:val="0"/>
          <w:sz w:val="32"/>
          <w:szCs w:val="32"/>
          <w:lang w:val="en-US" w:eastAsia="zh-CN" w:bidi="ar-SA"/>
        </w:rPr>
        <w:t>万元，年末结转和结余0万元。</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无</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pPr>
        <w:pStyle w:val="7"/>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黑体"/>
          <w:i w:val="0"/>
          <w:iCs w:val="0"/>
          <w:caps w:val="0"/>
          <w:color w:val="000000"/>
          <w:spacing w:val="0"/>
          <w:sz w:val="32"/>
          <w:szCs w:val="32"/>
          <w:shd w:val="clear" w:fill="FFFFFF"/>
        </w:rPr>
      </w:pPr>
      <w:r>
        <w:rPr>
          <w:rFonts w:hint="eastAsia" w:cs="Times New Roman"/>
          <w:color w:val="auto"/>
          <w:kern w:val="0"/>
          <w:sz w:val="32"/>
          <w:szCs w:val="32"/>
          <w:lang w:val="en-US" w:eastAsia="zh-CN" w:bidi="ar-SA"/>
        </w:rPr>
        <w:t>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（一）综合评价结论。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我镇严格按照省、市县相关考核要求，如期按时按质量完成各项工作指标。重点工作办结率100%。本年度绩效自评得分9</w:t>
      </w:r>
      <w:r>
        <w:rPr>
          <w:rFonts w:hint="eastAsia" w:ascii="仿宋" w:hAnsi="仿宋" w:eastAsia="仿宋"/>
          <w:bCs/>
          <w:sz w:val="32"/>
          <w:szCs w:val="32"/>
          <w:lang w:val="en-US" w:eastAsia="zh-CN"/>
        </w:rPr>
        <w:t>9</w:t>
      </w:r>
      <w:r>
        <w:rPr>
          <w:rFonts w:hint="eastAsia" w:ascii="仿宋" w:hAnsi="仿宋" w:eastAsia="仿宋"/>
          <w:bCs/>
          <w:sz w:val="32"/>
          <w:szCs w:val="32"/>
        </w:rPr>
        <w:t>分</w:t>
      </w:r>
      <w:r>
        <w:rPr>
          <w:rFonts w:hint="eastAsia" w:ascii="仿宋" w:hAnsi="仿宋" w:eastAsia="仿宋"/>
          <w:bCs/>
          <w:sz w:val="32"/>
          <w:szCs w:val="32"/>
          <w:lang w:eastAsia="zh-CN"/>
        </w:rPr>
        <w:t>。</w:t>
      </w:r>
      <w:r>
        <w:rPr>
          <w:rFonts w:hint="eastAsia" w:ascii="仿宋" w:hAnsi="仿宋" w:eastAsia="仿宋"/>
          <w:bCs/>
          <w:sz w:val="32"/>
          <w:szCs w:val="32"/>
        </w:rPr>
        <w:t>本部门整体支出和项目支出实行绩效目标管理，纳入202</w:t>
      </w:r>
      <w:r>
        <w:rPr>
          <w:rFonts w:hint="eastAsia" w:ascii="仿宋" w:hAnsi="仿宋" w:eastAsia="仿宋"/>
          <w:bCs/>
          <w:sz w:val="32"/>
          <w:szCs w:val="32"/>
          <w:lang w:val="en-US" w:eastAsia="zh-CN"/>
        </w:rPr>
        <w:t>3</w:t>
      </w:r>
      <w:r>
        <w:rPr>
          <w:rFonts w:hint="eastAsia" w:ascii="仿宋" w:hAnsi="仿宋" w:eastAsia="仿宋"/>
          <w:bCs/>
          <w:sz w:val="32"/>
          <w:szCs w:val="32"/>
        </w:rPr>
        <w:t>年部门整体支出绩效目标的金额为</w:t>
      </w:r>
      <w:r>
        <w:rPr>
          <w:rFonts w:hint="eastAsia" w:ascii="仿宋" w:hAnsi="仿宋" w:eastAsia="仿宋"/>
          <w:bCs/>
          <w:sz w:val="32"/>
          <w:szCs w:val="32"/>
          <w:lang w:val="en-US" w:eastAsia="zh-CN"/>
        </w:rPr>
        <w:t>3016.45</w:t>
      </w:r>
      <w:r>
        <w:rPr>
          <w:rFonts w:hint="eastAsia" w:ascii="仿宋" w:hAnsi="仿宋" w:eastAsia="仿宋"/>
          <w:bCs/>
          <w:sz w:val="32"/>
          <w:szCs w:val="32"/>
        </w:rPr>
        <w:t>万元，</w:t>
      </w:r>
      <w:r>
        <w:rPr>
          <w:rFonts w:hint="eastAsia" w:ascii="仿宋" w:hAnsi="仿宋" w:eastAsia="仿宋" w:cs="Arial Unicode MS"/>
          <w:sz w:val="32"/>
          <w:szCs w:val="32"/>
        </w:rPr>
        <w:t>其中：基本支出</w:t>
      </w:r>
      <w:r>
        <w:rPr>
          <w:rFonts w:hint="eastAsia" w:ascii="仿宋" w:hAnsi="仿宋" w:eastAsia="仿宋" w:cs="Arial Unicode MS"/>
          <w:sz w:val="32"/>
          <w:szCs w:val="32"/>
          <w:lang w:val="en-US" w:eastAsia="zh-CN"/>
        </w:rPr>
        <w:t>3005.23</w:t>
      </w:r>
      <w:r>
        <w:rPr>
          <w:rFonts w:hint="eastAsia" w:ascii="仿宋" w:hAnsi="仿宋" w:eastAsia="仿宋" w:cs="Arial Unicode MS"/>
          <w:sz w:val="32"/>
          <w:szCs w:val="32"/>
        </w:rPr>
        <w:t>万元，项目支出</w:t>
      </w:r>
      <w:r>
        <w:rPr>
          <w:rFonts w:hint="eastAsia" w:ascii="仿宋" w:hAnsi="仿宋" w:eastAsia="仿宋" w:cs="Arial Unicode MS"/>
          <w:sz w:val="32"/>
          <w:szCs w:val="32"/>
          <w:lang w:val="en-US" w:eastAsia="zh-CN"/>
        </w:rPr>
        <w:t>11.22</w:t>
      </w:r>
      <w:r>
        <w:rPr>
          <w:rFonts w:hint="eastAsia" w:ascii="仿宋" w:hAnsi="仿宋" w:eastAsia="仿宋" w:cs="Arial Unicode MS"/>
          <w:sz w:val="32"/>
          <w:szCs w:val="32"/>
        </w:rPr>
        <w:t>万元</w:t>
      </w:r>
      <w:r>
        <w:rPr>
          <w:rFonts w:hint="eastAsia" w:ascii="仿宋" w:hAnsi="仿宋" w:eastAsia="仿宋" w:cs="Arial Unicode MS"/>
          <w:sz w:val="32"/>
          <w:szCs w:val="32"/>
          <w:lang w:eastAsia="zh-CN"/>
        </w:rPr>
        <w:t>，</w:t>
      </w:r>
      <w:r>
        <w:rPr>
          <w:rFonts w:hint="eastAsia" w:ascii="仿宋" w:hAnsi="仿宋" w:eastAsia="仿宋"/>
          <w:bCs/>
          <w:sz w:val="32"/>
          <w:szCs w:val="32"/>
        </w:rPr>
        <w:t>完成了年初制订的绩效工作目标。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（二）评价指标分析（或综合评价情况）。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今年以来，西岩镇在县委、县政府的正确领导下，团结带领全镇干部群众，奋发有为、真抓实干、攻坚克难，有力推动各项工作顺利开展并较好完成了全年各项目标任务，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一）抓党建、推引领，赶超动力得到提升。一是强政治，抓实党员学习教育。二是做示范，发挥党员先锋作用。组织各党支部共推荐41名“身边榜样”，发挥身边榜样的引领作用。三是抓建设，推动党建提质增效。四是重宣传，牢固意识形态阵地。通过系列活动的开展，不断强化社会宣传，确保导向不改、阵地不丢，引导社会风气向善向好。</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eastAsia"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强廉政、抓作风，推进党风廉政建设。一是严格落实“一岗双责”，提高领导干部党风廉政建设责任意识，认真刻画班子成员“廉政画像”，进一步强化对领导干部的教育、监督和管理，持续净化政治生态；二是旗帜鲜明抓好正风肃纪，对违纪违法行为严肃依纪依法依程序处理，三是立足监督职能，开展“明方向、立规矩、正风气、强免疫” 干部队伍作风建设专项活动</w:t>
      </w:r>
      <w:r>
        <w:rPr>
          <w:rFonts w:hint="eastAsia" w:cs="Times New Roman"/>
          <w:color w:val="auto"/>
          <w:kern w:val="0"/>
          <w:sz w:val="32"/>
          <w:szCs w:val="32"/>
          <w:lang w:val="en-US" w:eastAsia="zh-CN" w:bidi="ar-SA"/>
        </w:rPr>
        <w:t>；四</w:t>
      </w:r>
      <w:r>
        <w:rPr>
          <w:rFonts w:hint="default" w:ascii="Times New Roman" w:hAnsi="Times New Roman" w:eastAsia="仿宋_GB2312" w:cs="Times New Roman"/>
          <w:color w:val="auto"/>
          <w:kern w:val="0"/>
          <w:sz w:val="32"/>
          <w:szCs w:val="32"/>
          <w:lang w:val="en-US" w:eastAsia="zh-CN" w:bidi="ar-SA"/>
        </w:rPr>
        <w:t>是积极开展重点工作、干部作风监督工作，对森林防火、乡村振兴、作风建设、三湘护农等重点工作采用定期或不定期的方式进行监督检查</w:t>
      </w:r>
      <w:r>
        <w:rPr>
          <w:rFonts w:hint="eastAsia" w:cs="Times New Roman"/>
          <w:color w:val="auto"/>
          <w:kern w:val="0"/>
          <w:sz w:val="32"/>
          <w:szCs w:val="32"/>
          <w:lang w:val="en-US" w:eastAsia="zh-CN" w:bidi="ar-SA"/>
        </w:rPr>
        <w:t>。</w:t>
      </w:r>
    </w:p>
    <w:p>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防返贫、促振兴，脱贫成果有效衔接。一是扎实开展防止返贫动态监测工作。按质按量处置省防返贫监测平台预警反馈的信息144条。二是巩固“两不愁三保障”成果。家庭医生签约应签尽签、服务到位；农村饮水安全得到保障，每个行政村均成立了供水保障管护小组，建立了供水保障管护机制，并制定了高寒山区秋冬季节性缺水应对预案措施。三是促进乡村人才队伍建设。充分发挥致富带头人在乡村振兴中的引领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w:t>
      </w:r>
      <w:r>
        <w:rPr>
          <w:rFonts w:hint="eastAsia" w:cs="Times New Roman"/>
          <w:color w:val="auto"/>
          <w:kern w:val="0"/>
          <w:sz w:val="32"/>
          <w:szCs w:val="32"/>
          <w:lang w:val="en-US" w:eastAsia="zh-CN" w:bidi="ar-SA"/>
        </w:rPr>
        <w:t>四</w:t>
      </w:r>
      <w:r>
        <w:rPr>
          <w:rFonts w:hint="default" w:ascii="Times New Roman" w:hAnsi="Times New Roman" w:eastAsia="仿宋_GB2312" w:cs="Times New Roman"/>
          <w:color w:val="auto"/>
          <w:kern w:val="0"/>
          <w:sz w:val="32"/>
          <w:szCs w:val="32"/>
          <w:lang w:val="en-US" w:eastAsia="zh-CN" w:bidi="ar-SA"/>
        </w:rPr>
        <w:t>）抓整治，提颜值，打造生态宜居家园。一是凝聚合力抓创文创卫。守底线，促发展，农业农村愈发美丽。一是坚决保障粮食安全生产。二是着力做好林业管护、森林防火。三是巩固提升人安饮水工程。完成小二型水库、石门水库除险加固工作，完成杨田河道二期建设工程，加强对供水厂的日常维护和检修、管理</w:t>
      </w:r>
      <w:r>
        <w:rPr>
          <w:rFonts w:hint="eastAsia" w:cs="Times New Roman"/>
          <w:color w:val="auto"/>
          <w:kern w:val="0"/>
          <w:sz w:val="32"/>
          <w:szCs w:val="32"/>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Times New Roman" w:hAnsi="Times New Roman" w:eastAsia="仿宋_GB2312" w:cs="Times New Roman"/>
          <w:color w:val="auto"/>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Times New Roman" w:hAnsi="Times New Roman" w:eastAsia="仿宋_GB2312" w:cs="Times New Roman"/>
          <w:color w:val="auto"/>
          <w:kern w:val="0"/>
          <w:sz w:val="32"/>
          <w:szCs w:val="32"/>
          <w:lang w:val="en-US" w:eastAsia="zh-CN"/>
        </w:rPr>
        <w:t>综合上述自评情况和考核评分情况，我镇绩效评估自评总得分为9</w:t>
      </w:r>
      <w:r>
        <w:rPr>
          <w:rFonts w:hint="eastAsia" w:cs="Times New Roman"/>
          <w:color w:val="auto"/>
          <w:kern w:val="0"/>
          <w:sz w:val="32"/>
          <w:szCs w:val="32"/>
          <w:lang w:val="en-US" w:eastAsia="zh-CN"/>
        </w:rPr>
        <w:t>9</w:t>
      </w:r>
      <w:r>
        <w:rPr>
          <w:rFonts w:hint="eastAsia" w:ascii="Times New Roman" w:hAnsi="Times New Roman" w:eastAsia="仿宋_GB2312" w:cs="Times New Roman"/>
          <w:color w:val="auto"/>
          <w:kern w:val="0"/>
          <w:sz w:val="32"/>
          <w:szCs w:val="32"/>
          <w:lang w:val="en-US" w:eastAsia="zh-CN"/>
        </w:rPr>
        <w:t>分。我镇虽然在财政资金使用管理工作中取得一些成效，但也存在一些问题和不足，工作较为繁杂，存在人员专业知识不足</w:t>
      </w:r>
      <w:r>
        <w:rPr>
          <w:rFonts w:hint="eastAsia" w:cs="Times New Roman"/>
          <w:color w:val="auto"/>
          <w:kern w:val="0"/>
          <w:sz w:val="32"/>
          <w:szCs w:val="32"/>
          <w:lang w:val="en-US" w:eastAsia="zh-CN"/>
        </w:rPr>
        <w:t>及人员不足</w:t>
      </w:r>
      <w:r>
        <w:rPr>
          <w:rFonts w:hint="eastAsia" w:ascii="Times New Roman" w:hAnsi="Times New Roman" w:eastAsia="仿宋_GB2312" w:cs="Times New Roman"/>
          <w:color w:val="auto"/>
          <w:kern w:val="0"/>
          <w:sz w:val="32"/>
          <w:szCs w:val="32"/>
          <w:lang w:val="en-US" w:eastAsia="zh-CN"/>
        </w:rPr>
        <w:t>等问题。这些都在一定程度制约着我镇各项工作的有序开展</w:t>
      </w:r>
      <w:r>
        <w:rPr>
          <w:rFonts w:hint="eastAsia" w:cs="Times New Roman"/>
          <w:color w:val="auto"/>
          <w:kern w:val="0"/>
          <w:sz w:val="32"/>
          <w:szCs w:val="32"/>
          <w:lang w:val="en-US" w:eastAsia="zh-CN"/>
        </w:rPr>
        <w:t>。</w:t>
      </w:r>
    </w:p>
    <w:p>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下一步改进措施</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强制度建设，严格财务审核。及时调整不符合现状的财务规章制度，充实和完善有关财政财务管理办法，细化有关财政财务管理规定，使乡镇财政财务管理有章可循。在费用报账支付时，按照预算规定的费用项目和用途进行资金使用审核、列报支付、财务核算，杜绝超支现象的发生，最大限度提高资金的使用效率。</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二是加强相关业务人员的专业知识培训，提高业务人员理论知识和业务操作水平，提升业务人员综合素质。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textAlignment w:val="auto"/>
        <w:rPr>
          <w:rFonts w:hint="eastAsia" w:ascii="黑体" w:hAnsi="黑体" w:eastAsia="黑体" w:cs="黑体"/>
          <w:i w:val="0"/>
          <w:iCs w:val="0"/>
          <w:caps w:val="0"/>
          <w:color w:val="000000"/>
          <w:spacing w:val="0"/>
          <w:sz w:val="32"/>
          <w:szCs w:val="32"/>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九、其他需要说明的情况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eastAsia" w:ascii="仿宋_GB2312" w:eastAsia="仿宋_GB2312" w:cs="仿宋_GB2312"/>
          <w:i w:val="0"/>
          <w:iCs w:val="0"/>
          <w:caps w:val="0"/>
          <w:color w:val="000000"/>
          <w:spacing w:val="0"/>
          <w:sz w:val="32"/>
          <w:szCs w:val="32"/>
          <w:shd w:val="clear" w:fill="FFFFFF"/>
          <w:lang w:val="en-US" w:eastAsia="zh-CN"/>
        </w:rPr>
      </w:pPr>
      <w:r>
        <w:rPr>
          <w:rFonts w:hint="eastAsia" w:ascii="仿宋_GB2312" w:eastAsia="仿宋_GB2312" w:cs="仿宋_GB2312"/>
          <w:i w:val="0"/>
          <w:iCs w:val="0"/>
          <w:caps w:val="0"/>
          <w:color w:val="000000"/>
          <w:spacing w:val="0"/>
          <w:sz w:val="32"/>
          <w:szCs w:val="32"/>
          <w:shd w:val="clear" w:fill="FFFFFF"/>
          <w:lang w:val="en-US" w:eastAsia="zh-CN"/>
        </w:rPr>
        <w:t>3、项目支出绩效自评表（每个项目支出一张表！）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pPr>
        <w:pStyle w:val="3"/>
        <w:bidi w:val="0"/>
        <w:rPr>
          <w:rFonts w:hint="eastAsia"/>
          <w:lang w:val="en-US" w:eastAsia="zh-CN"/>
        </w:rPr>
      </w:pPr>
    </w:p>
    <w:sectPr>
      <w:pgSz w:w="11906" w:h="16838"/>
      <w:pgMar w:top="1440" w:right="1134"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A5CC02"/>
    <w:multiLevelType w:val="singleLevel"/>
    <w:tmpl w:val="C6A5CC02"/>
    <w:lvl w:ilvl="0" w:tentative="0">
      <w:start w:val="8"/>
      <w:numFmt w:val="chineseCounting"/>
      <w:suff w:val="nothing"/>
      <w:lvlText w:val="%1、"/>
      <w:lvlJc w:val="left"/>
      <w:rPr>
        <w:rFonts w:hint="eastAsia"/>
      </w:rPr>
    </w:lvl>
  </w:abstractNum>
  <w:abstractNum w:abstractNumId="1">
    <w:nsid w:val="F9045C59"/>
    <w:multiLevelType w:val="singleLevel"/>
    <w:tmpl w:val="F9045C59"/>
    <w:lvl w:ilvl="0" w:tentative="0">
      <w:start w:val="2"/>
      <w:numFmt w:val="chineseCounting"/>
      <w:suff w:val="nothing"/>
      <w:lvlText w:val="（%1）"/>
      <w:lvlJc w:val="left"/>
      <w:rPr>
        <w:rFonts w:hint="eastAsia"/>
      </w:rPr>
    </w:lvl>
  </w:abstractNum>
  <w:abstractNum w:abstractNumId="2">
    <w:nsid w:val="312060B7"/>
    <w:multiLevelType w:val="singleLevel"/>
    <w:tmpl w:val="312060B7"/>
    <w:lvl w:ilvl="0" w:tentative="0">
      <w:start w:val="3"/>
      <w:numFmt w:val="chineseCounting"/>
      <w:suff w:val="nothing"/>
      <w:lvlText w:val="%1、"/>
      <w:lvlJc w:val="left"/>
      <w:rPr>
        <w:rFonts w:hint="eastAsia"/>
      </w:rPr>
    </w:lvl>
  </w:abstractNum>
  <w:abstractNum w:abstractNumId="3">
    <w:nsid w:val="36D8F23F"/>
    <w:multiLevelType w:val="singleLevel"/>
    <w:tmpl w:val="36D8F23F"/>
    <w:lvl w:ilvl="0" w:tentative="0">
      <w:start w:val="2"/>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ZDllYTk0NmRlYmU1MzQ4M2ViNzQwYmM1NWRhNDAifQ=="/>
    <w:docVar w:name="KSO_WPS_MARK_KEY" w:val="2cad2da4-8c74-4208-b950-09c4ddb6f378"/>
  </w:docVars>
  <w:rsids>
    <w:rsidRoot w:val="00000000"/>
    <w:rsid w:val="16343AAB"/>
    <w:rsid w:val="1EA33F65"/>
    <w:rsid w:val="233D2346"/>
    <w:rsid w:val="269E5DD8"/>
    <w:rsid w:val="2B4029D3"/>
    <w:rsid w:val="4B72396B"/>
    <w:rsid w:val="4E515D42"/>
    <w:rsid w:val="4EAD1859"/>
    <w:rsid w:val="599479CA"/>
    <w:rsid w:val="611E2A88"/>
    <w:rsid w:val="67852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8"/>
      <w:szCs w:val="28"/>
      <w:lang w:val="en-US" w:eastAsia="zh-CN" w:bidi="ar-SA"/>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List Paragraph"/>
    <w:basedOn w:val="1"/>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2351</Words>
  <Characters>2507</Characters>
  <Lines>0</Lines>
  <Paragraphs>0</Paragraphs>
  <TotalTime>1109</TotalTime>
  <ScaleCrop>false</ScaleCrop>
  <LinksUpToDate>false</LinksUpToDate>
  <CharactersWithSpaces>2522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2021-09-17T07:11:00Z</dcterms:created>
  <dc:creator>Administrator</dc:creator>
  <cp:lastModifiedBy>Glume</cp:lastModifiedBy>
  <cp:lastPrinted>2024-06-04T09:01:31Z</cp:lastPrinted>
  <dcterms:modified xsi:type="dcterms:W3CDTF">2024-06-05T03:30:01Z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CDF25284A02D40779F4D53AF59348FA8_13</vt:lpwstr>
  </property>
</Properties>
</file>