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eastAsia" w:eastAsia="方正小标宋_GBK" w:cs="Times New Roman"/>
          <w:sz w:val="52"/>
          <w:szCs w:val="5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52"/>
          <w:szCs w:val="52"/>
        </w:rPr>
        <w:t>年度</w:t>
      </w:r>
      <w:r>
        <w:rPr>
          <w:rFonts w:hint="eastAsia" w:eastAsia="方正小标宋_GBK" w:cs="Times New Roman"/>
          <w:sz w:val="52"/>
          <w:szCs w:val="52"/>
          <w:lang w:val="en-US" w:eastAsia="zh-CN"/>
        </w:rPr>
        <w:t>城步苗族自治县财政事务中心</w:t>
      </w:r>
      <w:r>
        <w:rPr>
          <w:rFonts w:ascii="Times New Roman" w:hAnsi="Times New Roman" w:eastAsia="方正小标宋_GBK" w:cs="Times New Roman"/>
          <w:sz w:val="52"/>
          <w:szCs w:val="52"/>
        </w:rPr>
        <w:t>整体支出绩效自评报告</w:t>
      </w:r>
    </w:p>
    <w:p>
      <w:pPr>
        <w:jc w:val="center"/>
        <w:rPr>
          <w:rFonts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ind w:firstLine="2400" w:firstLineChars="600"/>
        <w:jc w:val="both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240" w:lineRule="auto"/>
        <w:ind w:firstLine="0" w:firstLineChars="0"/>
        <w:jc w:val="center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单位名称：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>城步苗族自治县财政事务中心</w:t>
      </w:r>
    </w:p>
    <w:p>
      <w:pPr>
        <w:spacing w:line="600" w:lineRule="exact"/>
        <w:ind w:firstLine="2800" w:firstLineChars="700"/>
        <w:jc w:val="both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2024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31</w:t>
      </w:r>
      <w:r>
        <w:rPr>
          <w:rFonts w:hint="eastAsia" w:ascii="仿宋" w:hAnsi="仿宋" w:eastAsia="仿宋" w:cs="仿宋"/>
          <w:sz w:val="40"/>
          <w:szCs w:val="40"/>
        </w:rPr>
        <w:t>日</w:t>
      </w:r>
    </w:p>
    <w:p/>
    <w:p/>
    <w:p/>
    <w:p/>
    <w:p/>
    <w:p/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3年度城步苗族自治县财政事务中心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整体支出绩效自评报告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一、部门、单位基本情况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（一）机构设置情况</w:t>
      </w:r>
    </w:p>
    <w:p>
      <w:pPr>
        <w:widowControl/>
        <w:shd w:val="clear" w:color="auto" w:fill="FFFFFF"/>
        <w:spacing w:line="460" w:lineRule="atLeast"/>
        <w:ind w:firstLine="640"/>
        <w:jc w:val="left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城步苗族自治县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财政事务中心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为全额财政拨款的县财政局独立核算的二级机构，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经上级安排，由原来的县非税局和县乡镇财政管理局，整合相关公益服务职责，组建县财政事务中心，为县财政局所属副科级公益类事业单位，下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综合股、非税收入股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、资金结算股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财政票据股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惠农补贴股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等5个部门。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人员编制情况</w:t>
      </w:r>
    </w:p>
    <w:p>
      <w:pPr>
        <w:widowControl/>
        <w:shd w:val="clear" w:color="auto" w:fill="FFFFFF"/>
        <w:ind w:firstLine="645"/>
        <w:jc w:val="left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独立核算机构数为1个，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编制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现有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人员1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主要职能职责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负责本县非税收入的征收和上缴工作；</w:t>
      </w:r>
    </w:p>
    <w:p>
      <w:pPr>
        <w:widowControl/>
        <w:numPr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负责全县非税收入管理工作；</w:t>
      </w:r>
    </w:p>
    <w:p>
      <w:pPr>
        <w:widowControl/>
        <w:numPr>
          <w:numId w:val="0"/>
        </w:numPr>
        <w:shd w:val="clear" w:color="auto" w:fill="FFFFFF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负责本县非税收稽核工作；</w:t>
      </w:r>
    </w:p>
    <w:p>
      <w:pPr>
        <w:widowControl/>
        <w:numPr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负责为全县财政票据的发放、购领、核销、年检等提供保障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widowControl/>
        <w:numPr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负责惠农补贴数据收集、整理、汇总等事务性工作;</w:t>
      </w:r>
    </w:p>
    <w:p>
      <w:pPr>
        <w:widowControl/>
        <w:numPr>
          <w:numId w:val="0"/>
        </w:numPr>
        <w:shd w:val="clear" w:color="auto" w:fill="FFFFFF"/>
        <w:tabs>
          <w:tab w:val="left" w:pos="10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负责财政惠农补贴资金“一卡通”发放工作;</w:t>
      </w:r>
    </w:p>
    <w:p>
      <w:pPr>
        <w:widowControl/>
        <w:numPr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完成政府和财政局交办的其他工作。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绩效目标设定情况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本县非税收入的征收和上缴工作；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全县非税收入管理工作；</w:t>
      </w:r>
    </w:p>
    <w:p>
      <w:pPr>
        <w:widowControl/>
        <w:numPr>
          <w:ilvl w:val="0"/>
          <w:numId w:val="0"/>
        </w:numPr>
        <w:shd w:val="clear" w:color="auto" w:fill="FFFFFF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本县非税收稽核工作；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为全县财政票据的发放、购领、核销、年检等提供保障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惠农补贴数据收集、整理、汇总等事务性工作;</w:t>
      </w:r>
    </w:p>
    <w:p>
      <w:pPr>
        <w:widowControl/>
        <w:numPr>
          <w:ilvl w:val="0"/>
          <w:numId w:val="0"/>
        </w:numPr>
        <w:shd w:val="clear" w:color="auto" w:fill="FFFFFF"/>
        <w:tabs>
          <w:tab w:val="left" w:pos="1098"/>
        </w:tabs>
        <w:spacing w:line="48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财政惠农补贴资金“一卡通”发放工作;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uto"/>
        <w:ind w:firstLine="640" w:firstLineChars="200"/>
        <w:jc w:val="left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完成政府和财政局交办的其他工作。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pStyle w:val="5"/>
        <w:widowControl/>
        <w:spacing w:line="600" w:lineRule="exact"/>
        <w:ind w:left="64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eastAsia="楷体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预决算情况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1.部门预算情况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2023年年初预算安排收入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212.22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万元，其中一般公共财政拨款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212.22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万元；2023年年初预算安排支出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212.22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其中：基本支出159.72万元，项目支出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2.部门决算情况（含年中预算追加情况）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2023年决算总收入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301.63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万元，较预算增加</w:t>
      </w:r>
      <w:r>
        <w:rPr>
          <w:rFonts w:hint="eastAsia" w:cs="Times New Roman"/>
          <w:sz w:val="32"/>
          <w:szCs w:val="32"/>
          <w:lang w:val="en-US" w:eastAsia="zh-CN"/>
        </w:rPr>
        <w:t>89.41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万元，总支出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301.63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301.63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％；项目支出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％。差异产生的主要原因是</w:t>
      </w:r>
      <w:r>
        <w:rPr>
          <w:rFonts w:hint="eastAsia" w:cs="Times New Roman"/>
          <w:sz w:val="32"/>
          <w:szCs w:val="32"/>
          <w:lang w:eastAsia="zh-CN"/>
        </w:rPr>
        <w:t>年度预算调整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（二）部门预算执行情况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经费预算数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万元，公务用车购置及运行维护费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1.99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万元。“三公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经费决算数</w:t>
      </w:r>
      <w:r>
        <w:rPr>
          <w:rFonts w:hint="eastAsia" w:cs="Times New Roman"/>
          <w:sz w:val="32"/>
          <w:szCs w:val="32"/>
          <w:lang w:val="en-US" w:eastAsia="zh-CN"/>
        </w:rPr>
        <w:t>0.14万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元，其中：因公出国（境）费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万元，公务用车运行维护费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万元，公务接待费</w:t>
      </w:r>
      <w:r>
        <w:rPr>
          <w:rFonts w:hint="eastAsia" w:cs="Times New Roman"/>
          <w:sz w:val="32"/>
          <w:szCs w:val="32"/>
          <w:lang w:val="en-US" w:eastAsia="zh-CN"/>
        </w:rPr>
        <w:t>0.14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.政府采购执行情况</w:t>
      </w:r>
    </w:p>
    <w:p>
      <w:pPr>
        <w:spacing w:line="600" w:lineRule="exact"/>
        <w:ind w:firstLine="640" w:firstLineChars="200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2023年度政府采购支出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万元，其中：货物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元，工程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万元，服务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政府性基金预算支出情况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国有资本经营预算支出情况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社会保险基金预算支出情况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六、部门整体支出绩效情况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绩效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目标完成情况:工作完成率、工作完成及时率、质量达标率都达到了 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反映履职效益情况。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1、人员经费保证了工作人员安心工作，全心全意服务社会、服务群众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2、办公费用保证了单位的正常运转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3、“三公”经费也是一个单位部门存在、发展的必要开支，我们尽量做到厉行节约，遵守党纪法规和财经纪律。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960" w:firstLineChars="300"/>
        <w:textAlignment w:val="auto"/>
        <w:rPr>
          <w:rFonts w:hint="default" w:asci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(三)社会公众(服务对象)对我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工作越来越满意，表现在:我们的工作人员热情周到，服务热情，业务能力强。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七、存在的问题及原因分析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随着绩效工作要求越来越规范，要求工作人员业务水平需进一步提高，需要</w:t>
      </w:r>
      <w:bookmarkStart w:id="0" w:name="_GoBack"/>
      <w:bookmarkEnd w:id="0"/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加强人员管理，合理安排工作。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1、加强学习，组织财务人员认真学习相关法律法规，提高财务人员的预算意识，做到科学预算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，提升其业务水平。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加强管理，合理安排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3、规范财务运行，加强预算支出管理。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九、其他需要说明的情况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通过核实数据、查阅资料、综合分析，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城步苗族自治县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财政事务中心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年度部门整体支出绩效评价得分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分，撰写了绩效自评报告，并在政府门户网站予以公开。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报告应包括以下附件：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部门整体支出绩效评价基础数据表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部门整体支出绩效自评表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3、项目支出绩效自评表（每个项目支出一张表！）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firstLine="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F1DEC"/>
    <w:multiLevelType w:val="singleLevel"/>
    <w:tmpl w:val="9B3F1D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F82DDC"/>
    <w:multiLevelType w:val="singleLevel"/>
    <w:tmpl w:val="AFF82DD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2060B7"/>
    <w:multiLevelType w:val="singleLevel"/>
    <w:tmpl w:val="312060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dkMjhhYWI0NjEyNTc2N2M3MmRmMjEzMzc2MjAifQ=="/>
    <w:docVar w:name="KSO_WPS_MARK_KEY" w:val="2cad2da4-8c74-4208-b950-09c4ddb6f378"/>
  </w:docVars>
  <w:rsids>
    <w:rsidRoot w:val="00000000"/>
    <w:rsid w:val="1EA33F65"/>
    <w:rsid w:val="269E5DD8"/>
    <w:rsid w:val="4B72396B"/>
    <w:rsid w:val="588F0642"/>
    <w:rsid w:val="70911E2F"/>
    <w:rsid w:val="744417BD"/>
    <w:rsid w:val="7F1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1129</Words>
  <Characters>1223</Characters>
  <Lines>0</Lines>
  <Paragraphs>0</Paragraphs>
  <TotalTime>7</TotalTime>
  <ScaleCrop>false</ScaleCrop>
  <LinksUpToDate>false</LinksUpToDate>
  <CharactersWithSpaces>1229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2021-09-17T07:11:00Z</dcterms:created>
  <dc:creator>Administrator</dc:creator>
  <cp:lastModifiedBy>琴师，</cp:lastModifiedBy>
  <dcterms:modified xsi:type="dcterms:W3CDTF">2024-06-06T03:01:16Z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D1BA0F076F3F45F5A4EC113A94463AE6_12</vt:lpwstr>
  </property>
</Properties>
</file>