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eastAsia" w:eastAsia="方正小标宋_GBK" w:cs="Times New Roman"/>
          <w:sz w:val="52"/>
          <w:szCs w:val="5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eastAsia="方正小标宋_GBK" w:cs="Times New Roman"/>
          <w:sz w:val="52"/>
          <w:szCs w:val="52"/>
          <w:lang w:eastAsia="zh-CN"/>
        </w:rPr>
        <w:t>城步苗族自治县林业局部门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单位名称：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>城步苗族自治县林业局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（盖章）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31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/>
    <w:p/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林业局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编委核定，我局内设股室8个，所属二级单位11个，全部纳入2023年部门预算编制范围。内设股室分别是办公室、政工股、规划财务股、造林绿化股、资源林政管理股、野生动植物保护股、自然保护地管理股、国有林场和森林公园管理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所属单位分别是林业技术服务中心、林木种苗站、林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产品发展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服务中心、银杉管理所、检查站、林业科学研究所、青界山国有林场、燕子山国有林场、云马国有林场、南洞国有林场、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金紫山国有林场。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核定城步县林业局编制数合计 802名，行政编制数 10 名，事业编制数789名,工勤人员编制数 3名。年未在职在岗在编职工618人，离退休1062人。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业局为正科级财政预算事业单位。主要职能为：以生态建设为中心，发展现代林业为重点，以改革创新为活力，大力实施林业项目建设，切实加强森林资源的培育、保护和利用。具体职责：（一）负责全县林业及其生态建设的监督管理；（二）组织协调指导和监督全县造林绿化工作；(三）承担森林资源保护发展监督管理的责任；（四）组织协调指导和监督全县湿地保护工作；（五）组织指导陆生野生动植物的保护和合理开发利用；（六）负责自然保护区的监督与管理；（七）承担推进林业改革，维护农民经营林业的合法权益的责任；（八）制定全县林业产业发展政策，合理调整林业产业发展布局；（九）承担组织、协调、指导、监督全县森林防火工作的责任；拟订全县林业发展战略、中长期发展规划并组织实施；（十一）组织、指导林业及其生态建设的科技、教育和宣传工作，指导全县林业队伍的建设；（十二）承办县人民政府交办的其他事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绩效目标设定情况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1．目标设定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）各项非税收入收缴工作、森林生态效益林、天然商品林、退耕还林、造林抚育、生态护林员等惠农资金的审批、督导、检查、拨付发放工作。森林资源管理、森林防火、动植物保护工作。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（2）加大力度、充实力量开展扶贫工作，带动协助扶贫挂点村困难群体脱贫致富。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（3）严格控制“三公”经费支出，争取比上年有所减少。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（4）积极开展省、市、县交办的临时性重要工作及林业常规性工作。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2.预算配置：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年度，我局编制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人，在职人数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人，在职人员控制率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“三公”经费实际开支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43.58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万元，其中：公务接待费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26.37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万元、公务用车购置及运行费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万元，较上年下降了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8187.44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8187.44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8187.44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6,504.74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1,682.70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cs="Times New Roman"/>
          <w:sz w:val="32"/>
          <w:szCs w:val="32"/>
          <w:lang w:val="en-US" w:eastAsia="zh-CN"/>
        </w:rPr>
        <w:t>15321.85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cs="Times New Roman"/>
          <w:sz w:val="32"/>
          <w:szCs w:val="32"/>
          <w:lang w:val="en-US" w:eastAsia="zh-CN"/>
        </w:rPr>
        <w:t>7134.41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cs="Times New Roman"/>
          <w:sz w:val="32"/>
          <w:szCs w:val="32"/>
          <w:lang w:val="en-US" w:eastAsia="zh-CN"/>
        </w:rPr>
        <w:t>15559.19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cs="Times New Roman"/>
          <w:sz w:val="32"/>
          <w:szCs w:val="32"/>
          <w:lang w:val="en-US" w:eastAsia="zh-CN"/>
        </w:rPr>
        <w:t>8291.01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53.28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cs="Times New Roman"/>
          <w:sz w:val="32"/>
          <w:szCs w:val="32"/>
          <w:lang w:val="en-US" w:eastAsia="zh-CN"/>
        </w:rPr>
        <w:t>7268.18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46.72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cs="Times New Roman"/>
          <w:sz w:val="32"/>
          <w:szCs w:val="32"/>
          <w:lang w:eastAsia="zh-CN"/>
        </w:rPr>
        <w:t>支付了上年度的侍付报账款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cs="Times New Roman"/>
          <w:sz w:val="32"/>
          <w:szCs w:val="32"/>
          <w:lang w:val="en-US" w:eastAsia="zh-CN"/>
        </w:rPr>
        <w:t>43.58万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cs="Times New Roman"/>
          <w:sz w:val="32"/>
          <w:szCs w:val="32"/>
          <w:lang w:val="en-US" w:eastAsia="zh-CN"/>
        </w:rPr>
        <w:t>17.21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26.37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cs="Times New Roman"/>
          <w:sz w:val="32"/>
          <w:szCs w:val="32"/>
          <w:lang w:val="en-US" w:eastAsia="zh-CN"/>
        </w:rPr>
        <w:t>5550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cs="Times New Roman"/>
          <w:sz w:val="32"/>
          <w:szCs w:val="32"/>
          <w:lang w:val="en-US" w:eastAsia="zh-CN"/>
        </w:rPr>
        <w:t>3550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政府性基金预算支出情况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2023年度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政府性基金的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资金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463万元，主要用于支付森林工业总公司国有土地使用权出让收入。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（一）综合评价结论。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我局根据《财政部关于2023年部门决算工作的通知》要求进行部门整体支出绩效自评，经自评，我们认为得分为9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分，部门整体支出绩效为“优”。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（二）评价指标分析（或综合评价情况）。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围绕部门职责、行业发展规划，以预算资金管理为主线，设定整体绩效目标，加强预算配置、执行、管理和资产管理、认真履行职责、提高履职效益，部门支出满足了各项工作正常开展，完成了各项计划和任务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1.经济性方面。2023年全年按照部门预算进行成本控制，日常性工作开支严格按预算执行，其中：三公经费控制在43.58万元，控制在厉行节约指标数内。专项支出按财政部门下达的计划实施，全年没有项目超支。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2.效率性方面。2023年我局认真贯彻落实县委县政府下达的各项任务，较好地按时按质完成任务。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3.有效性方面。部门支出的有效性主要体现在我局各项工作成效上。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4.可持续性方面。2023年我局履职工作方面一直完成得很好。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主要反映各种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预算支出执行偏离绩效目标的情况，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并分析其原因。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按照财政支出绩效管理的要求，牢固树立行政成本意识，不断提高财政资金使用管理的水平和效率。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报告应包括以下附件：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3、项目支出绩效自评表（每个项目支出一张表！）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F2A9A"/>
    <w:multiLevelType w:val="singleLevel"/>
    <w:tmpl w:val="928F2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8BCEF33"/>
    <w:multiLevelType w:val="singleLevel"/>
    <w:tmpl w:val="C8BCEF3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2060B7"/>
    <w:multiLevelType w:val="singleLevel"/>
    <w:tmpl w:val="312060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BlZmZmZDYwZWJlOWNhYWYwMmRkM2QzNTBhZDIifQ=="/>
    <w:docVar w:name="KSO_WPS_MARK_KEY" w:val="2cad2da4-8c74-4208-b950-09c4ddb6f378"/>
  </w:docVars>
  <w:rsids>
    <w:rsidRoot w:val="00000000"/>
    <w:rsid w:val="02787FAE"/>
    <w:rsid w:val="099C263F"/>
    <w:rsid w:val="0FF5230B"/>
    <w:rsid w:val="152754B3"/>
    <w:rsid w:val="15D1317B"/>
    <w:rsid w:val="180C0990"/>
    <w:rsid w:val="1D127B5E"/>
    <w:rsid w:val="1EA33F65"/>
    <w:rsid w:val="269E5DD8"/>
    <w:rsid w:val="2FB617A1"/>
    <w:rsid w:val="303B7C0D"/>
    <w:rsid w:val="34E72111"/>
    <w:rsid w:val="3A713DCC"/>
    <w:rsid w:val="3B293484"/>
    <w:rsid w:val="3B7B5905"/>
    <w:rsid w:val="407A1061"/>
    <w:rsid w:val="4A872BFC"/>
    <w:rsid w:val="4B72396B"/>
    <w:rsid w:val="4D1B180E"/>
    <w:rsid w:val="5981331E"/>
    <w:rsid w:val="5D5C2DED"/>
    <w:rsid w:val="64F658D5"/>
    <w:rsid w:val="6670781C"/>
    <w:rsid w:val="6DC9282B"/>
    <w:rsid w:val="6E313E22"/>
    <w:rsid w:val="70FE623D"/>
    <w:rsid w:val="71B7463E"/>
    <w:rsid w:val="753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2203</Characters>
  <Lines>0</Lines>
  <Paragraphs>0</Paragraphs>
  <TotalTime>11</TotalTime>
  <ScaleCrop>false</ScaleCrop>
  <LinksUpToDate>false</LinksUpToDate>
  <CharactersWithSpaces>2212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2021-09-17T07:11:00Z</dcterms:created>
  <dc:creator>Administrator</dc:creator>
  <cp:lastModifiedBy>肖艳娟</cp:lastModifiedBy>
  <dcterms:modified xsi:type="dcterms:W3CDTF">2024-06-07T02:05:16Z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451C3DB6E0FF4A79950BEF8FCA7BEE74_13</vt:lpwstr>
  </property>
</Properties>
</file>