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0696" w:rsidRDefault="00525C5C">
      <w:pPr>
        <w:pStyle w:val="a3"/>
        <w:ind w:left="0"/>
        <w:jc w:val="both"/>
        <w:rPr>
          <w:rFonts w:ascii="Times New Roman" w:eastAsia="方正仿宋_GBK" w:hAnsi="Times New Roman" w:cs="Times New Roman"/>
          <w:sz w:val="32"/>
          <w:szCs w:val="32"/>
        </w:rPr>
      </w:pPr>
      <w:bookmarkStart w:id="0" w:name="_GoBack"/>
      <w:bookmarkEnd w:id="0"/>
      <w:r>
        <w:rPr>
          <w:rFonts w:ascii="Times New Roman" w:eastAsia="方正仿宋_GBK" w:hAnsi="Times New Roman" w:cs="Times New Roman"/>
          <w:sz w:val="32"/>
          <w:szCs w:val="32"/>
          <w:lang w:val="en-US"/>
        </w:rPr>
        <w:t>附件</w:t>
      </w:r>
      <w:r>
        <w:rPr>
          <w:rFonts w:ascii="Times New Roman" w:eastAsia="方正仿宋_GBK" w:hAnsi="Times New Roman" w:cs="Times New Roman" w:hint="eastAsia"/>
          <w:sz w:val="32"/>
          <w:szCs w:val="32"/>
          <w:lang w:val="en-US"/>
        </w:rPr>
        <w:t>3</w:t>
      </w:r>
      <w:r>
        <w:rPr>
          <w:rFonts w:ascii="Times New Roman" w:eastAsia="方正仿宋_GBK" w:hAnsi="Times New Roman" w:cs="Times New Roman"/>
          <w:sz w:val="32"/>
          <w:szCs w:val="32"/>
          <w:lang w:val="en-US"/>
        </w:rPr>
        <w:t>：</w:t>
      </w:r>
    </w:p>
    <w:p w:rsidR="00660696" w:rsidRDefault="00525C5C">
      <w:pPr>
        <w:pStyle w:val="a3"/>
        <w:tabs>
          <w:tab w:val="left" w:pos="1493"/>
        </w:tabs>
        <w:spacing w:before="214" w:line="240" w:lineRule="atLeast"/>
        <w:ind w:left="703"/>
        <w:jc w:val="center"/>
        <w:rPr>
          <w:rFonts w:ascii="Times New Roman" w:eastAsia="黑体" w:hAnsi="Times New Roman" w:cs="Times New Roman"/>
          <w:sz w:val="32"/>
          <w:szCs w:val="32"/>
        </w:rPr>
      </w:pPr>
      <w:r>
        <w:rPr>
          <w:rFonts w:ascii="Times New Roman" w:eastAsia="黑体" w:hAnsi="Times New Roman" w:cs="Times New Roman" w:hint="eastAsia"/>
          <w:spacing w:val="-3"/>
          <w:sz w:val="32"/>
          <w:szCs w:val="32"/>
        </w:rPr>
        <w:t>湖南</w:t>
      </w:r>
      <w:r>
        <w:rPr>
          <w:rFonts w:ascii="Times New Roman" w:eastAsia="黑体" w:hAnsi="Times New Roman" w:cs="Times New Roman"/>
          <w:spacing w:val="-3"/>
          <w:sz w:val="32"/>
          <w:szCs w:val="32"/>
        </w:rPr>
        <w:t>森</w:t>
      </w:r>
      <w:r>
        <w:rPr>
          <w:rFonts w:ascii="Times New Roman" w:eastAsia="黑体" w:hAnsi="Times New Roman" w:cs="Times New Roman"/>
          <w:sz w:val="32"/>
          <w:szCs w:val="32"/>
        </w:rPr>
        <w:t>林</w:t>
      </w:r>
      <w:r>
        <w:rPr>
          <w:rFonts w:ascii="Times New Roman" w:eastAsia="黑体" w:hAnsi="Times New Roman" w:cs="Times New Roman"/>
          <w:spacing w:val="-3"/>
          <w:sz w:val="32"/>
          <w:szCs w:val="32"/>
        </w:rPr>
        <w:t>人</w:t>
      </w:r>
      <w:r>
        <w:rPr>
          <w:rFonts w:ascii="Times New Roman" w:eastAsia="黑体" w:hAnsi="Times New Roman" w:cs="Times New Roman"/>
          <w:sz w:val="32"/>
          <w:szCs w:val="32"/>
        </w:rPr>
        <w:t>家</w:t>
      </w:r>
      <w:r>
        <w:rPr>
          <w:rFonts w:ascii="Times New Roman" w:eastAsia="黑体" w:hAnsi="Times New Roman" w:cs="Times New Roman"/>
          <w:sz w:val="32"/>
          <w:szCs w:val="32"/>
        </w:rPr>
        <w:t>星级</w:t>
      </w:r>
      <w:r>
        <w:rPr>
          <w:rFonts w:ascii="Times New Roman" w:eastAsia="黑体" w:hAnsi="Times New Roman" w:cs="Times New Roman"/>
          <w:spacing w:val="-3"/>
          <w:sz w:val="32"/>
          <w:szCs w:val="32"/>
        </w:rPr>
        <w:t>评</w:t>
      </w:r>
      <w:r>
        <w:rPr>
          <w:rFonts w:ascii="Times New Roman" w:eastAsia="黑体" w:hAnsi="Times New Roman" w:cs="Times New Roman"/>
          <w:sz w:val="32"/>
          <w:szCs w:val="32"/>
        </w:rPr>
        <w:t>定</w:t>
      </w:r>
      <w:r>
        <w:rPr>
          <w:rFonts w:ascii="Times New Roman" w:eastAsia="黑体" w:hAnsi="Times New Roman" w:cs="Times New Roman" w:hint="eastAsia"/>
          <w:sz w:val="32"/>
          <w:szCs w:val="32"/>
        </w:rPr>
        <w:t>评分标准</w:t>
      </w:r>
      <w:r>
        <w:rPr>
          <w:rFonts w:ascii="Times New Roman" w:eastAsia="黑体" w:hAnsi="Times New Roman" w:cs="Times New Roman"/>
          <w:spacing w:val="-3"/>
          <w:sz w:val="32"/>
          <w:szCs w:val="32"/>
        </w:rPr>
        <w:t>表</w:t>
      </w:r>
    </w:p>
    <w:p w:rsidR="00660696" w:rsidRDefault="00660696">
      <w:pPr>
        <w:pStyle w:val="a3"/>
        <w:spacing w:before="7" w:after="1"/>
        <w:ind w:left="0"/>
        <w:rPr>
          <w:rFonts w:ascii="Times New Roman" w:hAnsi="Times New Roman" w:cs="Times New Roman"/>
          <w:sz w:val="12"/>
        </w:rPr>
      </w:pPr>
    </w:p>
    <w:tbl>
      <w:tblPr>
        <w:tblW w:w="851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47"/>
        <w:gridCol w:w="4717"/>
        <w:gridCol w:w="949"/>
        <w:gridCol w:w="949"/>
        <w:gridCol w:w="951"/>
      </w:tblGrid>
      <w:tr w:rsidR="00660696">
        <w:trPr>
          <w:trHeight w:val="512"/>
          <w:tblHeader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bottom"/>
              <w:rPr>
                <w:rFonts w:ascii="Times New Roman" w:eastAsia="方正仿宋_GBK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b/>
                <w:bCs/>
                <w:color w:val="000000"/>
                <w:sz w:val="18"/>
                <w:szCs w:val="18"/>
                <w:lang w:val="en-US" w:bidi="ar"/>
              </w:rPr>
              <w:t>序号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bottom"/>
              <w:rPr>
                <w:rFonts w:ascii="Times New Roman" w:eastAsia="方正仿宋_GBK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b/>
                <w:bCs/>
                <w:color w:val="000000"/>
                <w:sz w:val="18"/>
                <w:szCs w:val="18"/>
                <w:lang w:val="en-US" w:bidi="ar"/>
              </w:rPr>
              <w:t>检查项目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bottom"/>
              <w:rPr>
                <w:rFonts w:ascii="Times New Roman" w:eastAsia="方正仿宋_GBK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b/>
                <w:bCs/>
                <w:color w:val="000000"/>
                <w:sz w:val="18"/>
                <w:szCs w:val="18"/>
                <w:lang w:val="en-US" w:bidi="ar"/>
              </w:rPr>
              <w:t>最高得分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bottom"/>
              <w:rPr>
                <w:rFonts w:ascii="Times New Roman" w:eastAsia="方正仿宋_GBK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b/>
                <w:bCs/>
                <w:color w:val="000000"/>
                <w:sz w:val="18"/>
                <w:szCs w:val="18"/>
                <w:lang w:val="en-US" w:bidi="ar"/>
              </w:rPr>
              <w:t>分档记分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bottom"/>
              <w:rPr>
                <w:rFonts w:ascii="Times New Roman" w:eastAsia="方正仿宋_GBK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b/>
                <w:bCs/>
                <w:color w:val="000000"/>
                <w:sz w:val="18"/>
                <w:szCs w:val="18"/>
                <w:lang w:val="en-US" w:bidi="ar"/>
              </w:rPr>
              <w:t>自评得分</w:t>
            </w:r>
          </w:p>
        </w:tc>
      </w:tr>
      <w:tr w:rsidR="00660696">
        <w:trPr>
          <w:trHeight w:val="285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</w:pPr>
            <w:r>
              <w:rPr>
                <w:rFonts w:ascii="Times New Roman" w:eastAsia="方正仿宋_GBK" w:hAnsi="Times New Roman" w:cs="Times New Roman" w:hint="eastAsia"/>
                <w:color w:val="000000"/>
                <w:sz w:val="18"/>
                <w:szCs w:val="18"/>
                <w:lang w:val="en-US" w:bidi="ar"/>
              </w:rPr>
              <w:t>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</w:pPr>
            <w:r>
              <w:rPr>
                <w:rFonts w:ascii="Times New Roman" w:eastAsia="方正仿宋_GBK" w:hAnsi="Times New Roman" w:cs="Times New Roman" w:hint="eastAsia"/>
                <w:color w:val="000000"/>
                <w:sz w:val="18"/>
                <w:szCs w:val="18"/>
                <w:lang w:val="en-US" w:bidi="ar"/>
              </w:rPr>
              <w:t>经营服务场地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</w:pPr>
            <w:r>
              <w:rPr>
                <w:rFonts w:ascii="Times New Roman" w:eastAsia="方正仿宋_GBK" w:hAnsi="Times New Roman" w:cs="Times New Roman" w:hint="eastAsia"/>
                <w:color w:val="000000"/>
                <w:sz w:val="18"/>
                <w:szCs w:val="18"/>
                <w:lang w:val="en-US" w:bidi="ar"/>
              </w:rPr>
              <w:t>300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285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用地面积、接待设施面积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50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455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1.1.1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场地面积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≥1500</w:t>
            </w:r>
            <w:r>
              <w:rPr>
                <w:rStyle w:val="font31"/>
                <w:rFonts w:eastAsia="方正仿宋_GBK"/>
                <w:lang w:val="en-US" w:bidi="ar"/>
              </w:rPr>
              <w:t xml:space="preserve"> </w:t>
            </w:r>
            <w:r>
              <w:rPr>
                <w:rStyle w:val="font31"/>
                <w:rFonts w:eastAsia="方正仿宋_GBK"/>
                <w:lang w:val="en-US" w:bidi="ar"/>
              </w:rPr>
              <w:t>㎡。用于接待设施面积</w:t>
            </w:r>
            <w:r>
              <w:rPr>
                <w:rStyle w:val="font31"/>
                <w:rFonts w:eastAsia="方正仿宋_GBK"/>
                <w:lang w:val="en-US" w:bidi="ar"/>
              </w:rPr>
              <w:t xml:space="preserve">≥300 </w:t>
            </w:r>
            <w:r>
              <w:rPr>
                <w:rStyle w:val="font31"/>
                <w:rFonts w:eastAsia="方正仿宋_GBK"/>
                <w:lang w:val="en-US" w:bidi="ar"/>
              </w:rPr>
              <w:t>㎡，接待区域布局合理，地面全部进行了合理化处理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30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1.1.2</w:t>
            </w:r>
          </w:p>
        </w:tc>
        <w:tc>
          <w:tcPr>
            <w:tcW w:w="471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场地面积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≥3000</w:t>
            </w:r>
            <w:r>
              <w:rPr>
                <w:rStyle w:val="font31"/>
                <w:rFonts w:eastAsia="方正仿宋_GBK"/>
                <w:lang w:val="en-US" w:bidi="ar"/>
              </w:rPr>
              <w:t xml:space="preserve"> </w:t>
            </w:r>
            <w:r>
              <w:rPr>
                <w:rStyle w:val="font31"/>
                <w:rFonts w:eastAsia="方正仿宋_GBK"/>
                <w:lang w:val="en-US" w:bidi="ar"/>
              </w:rPr>
              <w:t>㎡。用于接待设施面积</w:t>
            </w:r>
            <w:r>
              <w:rPr>
                <w:rStyle w:val="font31"/>
                <w:rFonts w:eastAsia="方正仿宋_GBK"/>
                <w:lang w:val="en-US" w:bidi="ar"/>
              </w:rPr>
              <w:t xml:space="preserve">≥600 </w:t>
            </w:r>
            <w:r>
              <w:rPr>
                <w:rStyle w:val="font31"/>
                <w:rFonts w:eastAsia="方正仿宋_GBK"/>
                <w:lang w:val="en-US" w:bidi="ar"/>
              </w:rPr>
              <w:t>㎡，接待区域布局合理，地面全部进行了合理化处理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40</w:t>
            </w:r>
          </w:p>
        </w:tc>
        <w:tc>
          <w:tcPr>
            <w:tcW w:w="951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4"/>
                <w:szCs w:val="14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1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4"/>
                <w:szCs w:val="14"/>
              </w:rPr>
            </w:pPr>
          </w:p>
        </w:tc>
      </w:tr>
      <w:tr w:rsidR="00660696">
        <w:trPr>
          <w:trHeight w:val="495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1.1.3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场地面积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≥6000</w:t>
            </w:r>
            <w:r>
              <w:rPr>
                <w:rStyle w:val="font31"/>
                <w:rFonts w:eastAsia="方正仿宋_GBK"/>
                <w:lang w:val="en-US" w:bidi="ar"/>
              </w:rPr>
              <w:t xml:space="preserve"> </w:t>
            </w:r>
            <w:r>
              <w:rPr>
                <w:rStyle w:val="font31"/>
                <w:rFonts w:eastAsia="方正仿宋_GBK"/>
                <w:lang w:val="en-US" w:bidi="ar"/>
              </w:rPr>
              <w:t>㎡。用于接待设施面积</w:t>
            </w:r>
            <w:r>
              <w:rPr>
                <w:rStyle w:val="font31"/>
                <w:rFonts w:eastAsia="方正仿宋_GBK"/>
                <w:lang w:val="en-US" w:bidi="ar"/>
              </w:rPr>
              <w:t xml:space="preserve">≥1200 </w:t>
            </w:r>
            <w:r>
              <w:rPr>
                <w:rStyle w:val="font31"/>
                <w:rFonts w:eastAsia="方正仿宋_GBK"/>
                <w:lang w:val="en-US" w:bidi="ar"/>
              </w:rPr>
              <w:t>㎡，接待区域布局合理，地面全部进行了合理化处理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50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1.2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生态环境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140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48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1.2.1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场地绿化率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≥40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％，周边生态环境良好，与经营环境协调，具有林区乡土风情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100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1.2.2</w:t>
            </w:r>
          </w:p>
        </w:tc>
        <w:tc>
          <w:tcPr>
            <w:tcW w:w="471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场地绿化率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≥50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％，周边生态环境良好，与经营环境协调，有一定特色，具有浓郁的林区乡土风情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120</w:t>
            </w:r>
          </w:p>
        </w:tc>
        <w:tc>
          <w:tcPr>
            <w:tcW w:w="951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4"/>
                <w:szCs w:val="14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1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4"/>
                <w:szCs w:val="14"/>
              </w:rPr>
            </w:pPr>
          </w:p>
        </w:tc>
      </w:tr>
      <w:tr w:rsidR="00660696">
        <w:trPr>
          <w:trHeight w:val="48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1.2.3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场地绿化率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≥60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％，周边生态环境良好，与环境相协调，绿化植物配置得当，有特色，整体景观非常好，具有浓郁的林区乡土风情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140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1.3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建筑结构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80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1.3.1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房屋结构符合建筑安全要求，布局合理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40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1.3.2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房屋结构符合建筑安全要求，布局合理，能够满足功能分区要求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50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1.3.3</w:t>
            </w:r>
          </w:p>
        </w:tc>
        <w:tc>
          <w:tcPr>
            <w:tcW w:w="471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房屋结构符合建筑安全要求，建筑风格、装饰装修有特色，布局科学、</w:t>
            </w:r>
            <w:r>
              <w:rPr>
                <w:rStyle w:val="font31"/>
                <w:rFonts w:eastAsia="方正仿宋_GBK"/>
                <w:lang w:val="en-US" w:bidi="ar"/>
              </w:rPr>
              <w:t>合理，具有明确功能划分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60</w:t>
            </w:r>
          </w:p>
        </w:tc>
        <w:tc>
          <w:tcPr>
            <w:tcW w:w="951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1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1.3.4</w:t>
            </w:r>
          </w:p>
        </w:tc>
        <w:tc>
          <w:tcPr>
            <w:tcW w:w="471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房屋结构符合建筑安全要求，建筑风格、装饰装修独具特色、与环境协调，布局科学、合理，具有明确功能划分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80</w:t>
            </w:r>
          </w:p>
        </w:tc>
        <w:tc>
          <w:tcPr>
            <w:tcW w:w="951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4"/>
                <w:szCs w:val="14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1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4"/>
                <w:szCs w:val="14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1.4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消防安全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30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1.4.1</w:t>
            </w:r>
          </w:p>
        </w:tc>
        <w:tc>
          <w:tcPr>
            <w:tcW w:w="471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建筑通道、楼道以及游客集中的场所符合消防安全要求，经营服务场所按规定配备必要的消防设施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10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5"/>
                <w:szCs w:val="15"/>
              </w:rPr>
            </w:pPr>
          </w:p>
        </w:tc>
        <w:tc>
          <w:tcPr>
            <w:tcW w:w="951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5"/>
                <w:szCs w:val="15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1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5"/>
                <w:szCs w:val="15"/>
              </w:rPr>
            </w:pPr>
          </w:p>
        </w:tc>
        <w:tc>
          <w:tcPr>
            <w:tcW w:w="951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5"/>
                <w:szCs w:val="15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1.4.2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消防安全制度健全，有安全应急预案和有专（兼）职消防员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10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1.4.3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开展全员消防知识培训，能够正确使用消防器材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10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接待服务设施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270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综合服务设施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22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285"/>
          <w:jc w:val="center"/>
        </w:trPr>
        <w:tc>
          <w:tcPr>
            <w:tcW w:w="94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2.1.1</w:t>
            </w:r>
          </w:p>
        </w:tc>
        <w:tc>
          <w:tcPr>
            <w:tcW w:w="471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游客服务中心（或服务台）：布局合理，有装饰、有标志，有结账功能，提供咨询、旅游信息、宣传品、价目表、小件物品寄存、雨伞、紧急救助室、投诉受理、解说等服务项目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10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9"/>
                <w:szCs w:val="29"/>
              </w:rPr>
            </w:pPr>
          </w:p>
        </w:tc>
        <w:tc>
          <w:tcPr>
            <w:tcW w:w="951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9"/>
                <w:szCs w:val="29"/>
              </w:rPr>
            </w:pPr>
          </w:p>
        </w:tc>
      </w:tr>
      <w:tr w:rsidR="00660696">
        <w:trPr>
          <w:trHeight w:val="285"/>
          <w:jc w:val="center"/>
        </w:trPr>
        <w:tc>
          <w:tcPr>
            <w:tcW w:w="94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1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9"/>
                <w:szCs w:val="29"/>
              </w:rPr>
            </w:pPr>
          </w:p>
        </w:tc>
        <w:tc>
          <w:tcPr>
            <w:tcW w:w="951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9"/>
                <w:szCs w:val="29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1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9"/>
                <w:szCs w:val="29"/>
              </w:rPr>
            </w:pPr>
          </w:p>
        </w:tc>
        <w:tc>
          <w:tcPr>
            <w:tcW w:w="951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9"/>
                <w:szCs w:val="29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2.1.2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能提供土特产、旅游纪念品等销售服务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4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2.1.3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能提供公用电话、传真、无线网络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4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2.1.4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能提供银行卡、移动支付结账服务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4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2.2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会议设施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13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2.2.1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会议室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9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lastRenderedPageBreak/>
              <w:t>2.2.1.1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有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 xml:space="preserve"> 1 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个容纳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 xml:space="preserve"> </w:t>
            </w:r>
            <w:r>
              <w:rPr>
                <w:rStyle w:val="font31"/>
                <w:rFonts w:eastAsia="方正仿宋_GBK"/>
                <w:lang w:val="en-US" w:bidi="ar"/>
              </w:rPr>
              <w:t xml:space="preserve">10 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人以上的小会议室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2.2.1.2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有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 xml:space="preserve"> 1 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个容纳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 xml:space="preserve"> </w:t>
            </w:r>
            <w:r>
              <w:rPr>
                <w:rStyle w:val="font31"/>
                <w:rFonts w:eastAsia="方正仿宋_GBK"/>
                <w:lang w:val="en-US" w:bidi="ar"/>
              </w:rPr>
              <w:t xml:space="preserve">30 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人以上的中会议室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3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2.2.1.3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有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 xml:space="preserve"> 1 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个容纳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 xml:space="preserve"> </w:t>
            </w:r>
            <w:r>
              <w:rPr>
                <w:rStyle w:val="font31"/>
                <w:rFonts w:eastAsia="方正仿宋_GBK"/>
                <w:lang w:val="en-US" w:bidi="ar"/>
              </w:rPr>
              <w:t xml:space="preserve">50 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人以上的大会议室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4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2.2.2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有必要的会议音响设备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2.2.3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有电脑及投影设备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2.3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客房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45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2.3.1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房间数量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2.3.1.1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有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 xml:space="preserve"> 4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～</w:t>
            </w:r>
            <w:r>
              <w:rPr>
                <w:rStyle w:val="font31"/>
                <w:rFonts w:eastAsia="方正仿宋_GBK"/>
                <w:lang w:val="en-US" w:bidi="ar"/>
              </w:rPr>
              <w:t xml:space="preserve">5 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间客房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2.3.1.2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有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 xml:space="preserve"> 6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～</w:t>
            </w:r>
            <w:r>
              <w:rPr>
                <w:rStyle w:val="font31"/>
                <w:rFonts w:eastAsia="方正仿宋_GBK"/>
                <w:lang w:val="en-US" w:bidi="ar"/>
              </w:rPr>
              <w:t xml:space="preserve">7 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间客房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3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2.3.1.3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有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 xml:space="preserve"> 8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～</w:t>
            </w:r>
            <w:r>
              <w:rPr>
                <w:rStyle w:val="font31"/>
                <w:rFonts w:eastAsia="方正仿宋_GBK"/>
                <w:lang w:val="en-US" w:bidi="ar"/>
              </w:rPr>
              <w:t xml:space="preserve">9 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间客房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4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2.3.1.4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有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 xml:space="preserve"> 10 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间（含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 xml:space="preserve"> </w:t>
            </w:r>
            <w:r>
              <w:rPr>
                <w:rStyle w:val="font31"/>
                <w:rFonts w:eastAsia="方正仿宋_GBK"/>
                <w:lang w:val="en-US" w:bidi="ar"/>
              </w:rPr>
              <w:t xml:space="preserve">10 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间）以上客房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285"/>
          <w:jc w:val="center"/>
        </w:trPr>
        <w:tc>
          <w:tcPr>
            <w:tcW w:w="94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2.3.2</w:t>
            </w:r>
          </w:p>
        </w:tc>
        <w:tc>
          <w:tcPr>
            <w:tcW w:w="471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客房装饰、装修有特色，家具用品使用性能良好。客房门窗应安装防盗设施和防蚊虫设施。在显著位置张贴应急疏散图和相关说明，客房装饰、装修材料符合环保要求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5"/>
                <w:szCs w:val="25"/>
              </w:rPr>
            </w:pPr>
          </w:p>
        </w:tc>
        <w:tc>
          <w:tcPr>
            <w:tcW w:w="951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5"/>
                <w:szCs w:val="25"/>
              </w:rPr>
            </w:pPr>
          </w:p>
        </w:tc>
      </w:tr>
      <w:tr w:rsidR="00660696">
        <w:trPr>
          <w:trHeight w:val="285"/>
          <w:jc w:val="center"/>
        </w:trPr>
        <w:tc>
          <w:tcPr>
            <w:tcW w:w="94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1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5"/>
                <w:szCs w:val="25"/>
              </w:rPr>
            </w:pPr>
          </w:p>
        </w:tc>
        <w:tc>
          <w:tcPr>
            <w:tcW w:w="951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5"/>
                <w:szCs w:val="25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1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5"/>
                <w:szCs w:val="25"/>
              </w:rPr>
            </w:pPr>
          </w:p>
        </w:tc>
        <w:tc>
          <w:tcPr>
            <w:tcW w:w="951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5"/>
                <w:szCs w:val="25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2.3.3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客房家具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10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2.3.3.1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有床、床头柜、写字台、座椅、衣架、彩色电视机、空调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4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285"/>
          <w:jc w:val="center"/>
        </w:trPr>
        <w:tc>
          <w:tcPr>
            <w:tcW w:w="94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2.3.3.2</w:t>
            </w:r>
          </w:p>
        </w:tc>
        <w:tc>
          <w:tcPr>
            <w:tcW w:w="471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有床、床头柜、写字台、座椅、衣橱及衣架、台灯、空调、彩色电视机、床头有总电源开关，各电源开关、插座布置合理，便于使用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6</w:t>
            </w:r>
          </w:p>
        </w:tc>
        <w:tc>
          <w:tcPr>
            <w:tcW w:w="951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285"/>
          <w:jc w:val="center"/>
        </w:trPr>
        <w:tc>
          <w:tcPr>
            <w:tcW w:w="94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1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2.3.3.3</w:t>
            </w:r>
          </w:p>
        </w:tc>
        <w:tc>
          <w:tcPr>
            <w:tcW w:w="471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both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有床、床头柜、座椅或沙发、空调、彩色电视机、写字台、衣橱及衣架、行李架、梳妆台、台灯，室内照明充足，床头有总电源开关，各电源开关、插座布置合理，便于使用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9"/>
                <w:szCs w:val="29"/>
              </w:rPr>
            </w:pP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10</w:t>
            </w:r>
          </w:p>
        </w:tc>
        <w:tc>
          <w:tcPr>
            <w:tcW w:w="951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9"/>
                <w:szCs w:val="29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1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both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9"/>
                <w:szCs w:val="29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9"/>
                <w:szCs w:val="29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2.3.4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卫生间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10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2.3.4.1</w:t>
            </w:r>
          </w:p>
        </w:tc>
        <w:tc>
          <w:tcPr>
            <w:tcW w:w="471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卫生间有抽水马桶、面盆和梳妆镜、沐浴设施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,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有必要的可用品和消耗</w:t>
            </w:r>
            <w:r>
              <w:rPr>
                <w:rStyle w:val="font31"/>
                <w:rFonts w:eastAsia="方正仿宋_GBK"/>
                <w:lang w:val="en-US" w:bidi="ar"/>
              </w:rPr>
              <w:t>品</w:t>
            </w:r>
            <w:r>
              <w:rPr>
                <w:rStyle w:val="font31"/>
                <w:rFonts w:eastAsia="方正仿宋_GBK"/>
                <w:lang w:val="en-US" w:bidi="ar"/>
              </w:rPr>
              <w:t>,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地面采用防滑材料，有良好的照明，使用节能灯具，</w:t>
            </w:r>
            <w:r>
              <w:rPr>
                <w:rStyle w:val="font31"/>
                <w:rFonts w:eastAsia="方正仿宋_GBK"/>
                <w:lang w:val="en-US" w:bidi="ar"/>
              </w:rPr>
              <w:t xml:space="preserve">24h 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供应冷水，</w:t>
            </w:r>
            <w:r>
              <w:rPr>
                <w:rStyle w:val="font31"/>
                <w:rFonts w:eastAsia="方正仿宋_GBK"/>
                <w:lang w:val="en-US" w:bidi="ar"/>
              </w:rPr>
              <w:t>16h</w:t>
            </w:r>
            <w:r>
              <w:rPr>
                <w:rStyle w:val="font31"/>
                <w:rFonts w:eastAsia="方正仿宋_GBK"/>
                <w:lang w:val="en-US" w:bidi="ar"/>
              </w:rPr>
              <w:t>供应热水</w:t>
            </w:r>
            <w:r>
              <w:rPr>
                <w:rStyle w:val="font31"/>
                <w:rFonts w:eastAsia="方正仿宋_GBK"/>
                <w:lang w:val="en-US" w:bidi="ar"/>
              </w:rPr>
              <w:t xml:space="preserve">  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8</w:t>
            </w:r>
          </w:p>
        </w:tc>
        <w:tc>
          <w:tcPr>
            <w:tcW w:w="951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1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2.3.4.2</w:t>
            </w:r>
          </w:p>
        </w:tc>
        <w:tc>
          <w:tcPr>
            <w:tcW w:w="471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both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卫生间有抽水马桶、面盆和梳妆镜、沐浴设施，有必要的可用品和消耗品，地面采用防滑材料，有良好的照明，使用节能灯具，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24h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供应冷水和热水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5"/>
                <w:szCs w:val="25"/>
              </w:rPr>
            </w:pP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10</w:t>
            </w:r>
          </w:p>
        </w:tc>
        <w:tc>
          <w:tcPr>
            <w:tcW w:w="951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5"/>
                <w:szCs w:val="25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1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both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5"/>
                <w:szCs w:val="25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5"/>
                <w:szCs w:val="25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2.3.5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提供长途电话服务并备有电话使用说明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3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2.3.6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提供上网服务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285"/>
          <w:jc w:val="center"/>
        </w:trPr>
        <w:tc>
          <w:tcPr>
            <w:tcW w:w="94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2.3.7</w:t>
            </w:r>
          </w:p>
        </w:tc>
        <w:tc>
          <w:tcPr>
            <w:tcW w:w="471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客房廊道有位置合理、标志清楚的应急照明灯、安全提示、顾客意见表和必要的消防设施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285"/>
          <w:jc w:val="center"/>
        </w:trPr>
        <w:tc>
          <w:tcPr>
            <w:tcW w:w="94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1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2.3.8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客房服务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 xml:space="preserve">  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2.3.8.1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客房、卫生间每天清理，更换客用品并补充齐全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2.3.8.2</w:t>
            </w:r>
          </w:p>
        </w:tc>
        <w:tc>
          <w:tcPr>
            <w:tcW w:w="471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床单、被套、枕套等卧具一客一换，消毒措施到位，长住旅客的床上卧具至少一周一换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1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2.3.8.3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提供烧水壶或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24h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提供开水服务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2.3.8.4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提供免费茶包、咖啡包、烟灰缸等用品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2.3.8.5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有服务指南、价目表、住宿规章、紧急疏散指引等住宿帮助文件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2.4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厨房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70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465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2.4.1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厨房（含初加工间、烹调间、凉菜间、洗碗间、食品库房等）布局流程合理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2.4.2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厨房的建筑面积大于餐厅（含雅间）建筑面积的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50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％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2.4.3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厨房地面、墙面、顶面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10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285"/>
          <w:jc w:val="center"/>
        </w:trPr>
        <w:tc>
          <w:tcPr>
            <w:tcW w:w="94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lastRenderedPageBreak/>
              <w:t>2.4.3.1</w:t>
            </w:r>
          </w:p>
        </w:tc>
        <w:tc>
          <w:tcPr>
            <w:tcW w:w="471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厨房地面经硬化处理，防滑、易于冲洗。墙面墙裙瓷砖高于</w:t>
            </w:r>
            <w:r>
              <w:rPr>
                <w:rStyle w:val="font31"/>
                <w:rFonts w:eastAsia="方正仿宋_GBK"/>
                <w:lang w:val="en-US" w:bidi="ar"/>
              </w:rPr>
              <w:t>2.0m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，有吊顶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8</w:t>
            </w:r>
          </w:p>
        </w:tc>
        <w:tc>
          <w:tcPr>
            <w:tcW w:w="951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285"/>
          <w:jc w:val="center"/>
        </w:trPr>
        <w:tc>
          <w:tcPr>
            <w:tcW w:w="94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1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2.4.3.2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厨房地面经硬化处理，防滑、易于冲洗。墙面铺满瓷砖，有吊顶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10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2.4.4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厨房功能分区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15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285"/>
          <w:jc w:val="center"/>
        </w:trPr>
        <w:tc>
          <w:tcPr>
            <w:tcW w:w="94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2.4.4.1</w:t>
            </w:r>
          </w:p>
        </w:tc>
        <w:tc>
          <w:tcPr>
            <w:tcW w:w="471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初加工间、烹调间、凉菜间独立分设并符合卫生要求；凉菜间有足够的冷气设备和必要的设备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51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9"/>
                <w:szCs w:val="19"/>
              </w:rPr>
            </w:pPr>
          </w:p>
        </w:tc>
      </w:tr>
      <w:tr w:rsidR="00660696">
        <w:trPr>
          <w:trHeight w:val="285"/>
          <w:jc w:val="center"/>
        </w:trPr>
        <w:tc>
          <w:tcPr>
            <w:tcW w:w="94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1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9"/>
                <w:szCs w:val="19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2.4.4.2</w:t>
            </w:r>
          </w:p>
        </w:tc>
        <w:tc>
          <w:tcPr>
            <w:tcW w:w="471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初加工间、烹调间、凉菜间、洗碗间独立分设并符合卫生要求；凉菜间有足够的冷气设备和必要的设备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10</w:t>
            </w:r>
          </w:p>
        </w:tc>
        <w:tc>
          <w:tcPr>
            <w:tcW w:w="951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9"/>
                <w:szCs w:val="19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1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9"/>
                <w:szCs w:val="19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2.4.4.3</w:t>
            </w:r>
          </w:p>
        </w:tc>
        <w:tc>
          <w:tcPr>
            <w:tcW w:w="471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初加工间、烹调间、面点间、凉菜间、洗碗间独立分设并符合卫生要求；凉菜间有足够的冷气、冷藏设备和必要的设备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15</w:t>
            </w:r>
          </w:p>
        </w:tc>
        <w:tc>
          <w:tcPr>
            <w:tcW w:w="951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9"/>
                <w:szCs w:val="19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1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9"/>
                <w:szCs w:val="19"/>
              </w:rPr>
            </w:pPr>
          </w:p>
        </w:tc>
      </w:tr>
      <w:tr w:rsidR="00660696">
        <w:trPr>
          <w:trHeight w:val="285"/>
          <w:jc w:val="center"/>
        </w:trPr>
        <w:tc>
          <w:tcPr>
            <w:tcW w:w="94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2.4.5</w:t>
            </w:r>
          </w:p>
        </w:tc>
        <w:tc>
          <w:tcPr>
            <w:tcW w:w="471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餐（饮）具洗涤池、清洗池、消毒池及蔬菜清洗池、肉类清洗池独立分设并符合卫生要求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951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9"/>
                <w:szCs w:val="19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1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951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9"/>
                <w:szCs w:val="19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2.4.6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有食品库房和非食品库房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2.4.7</w:t>
            </w:r>
          </w:p>
        </w:tc>
        <w:tc>
          <w:tcPr>
            <w:tcW w:w="471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外购大宗原辅料、粮油、副食品等有索证资料（进货单、产品质量检验报告等）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1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2.4.8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有消毒专用设备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2.4.9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冷藏、冷冻设施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2.4.9.1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有充足的冷藏、冷冻设施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3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2.4.9.2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有充足的冷藏、冷冻和保鲜设备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2.4.10</w:t>
            </w:r>
          </w:p>
        </w:tc>
        <w:tc>
          <w:tcPr>
            <w:tcW w:w="471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有完善的防蝇、防尘、防鼠设施和符合卫生要求的密闭废弃物存放容器并保持外部整洁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10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1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2.5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餐厅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70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2.5.1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餐厅位置、面积（含雅间）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15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2.5.1.1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餐厅位置合理，通风采光良好、整洁，使用面积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≥50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㎡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10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2.5.1.2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餐厅位置合理，通风采光良好、整洁，使用面积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≥100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㎡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12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2.5.1.3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餐厅位置合理，通风采光良好、整洁，使用面积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≥150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㎡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15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2.5.2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餐厅地面经硬化处理，防滑，易于冲洗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2.5.3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桌椅、餐具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10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2.5.3.1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桌椅、餐具、酒具配套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2.5.3.2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桌椅、用具、餐具、酒具、茶具配套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8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2.5.3.3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桌椅、用具、餐具、酒具、茶具配套上档次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10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2.5.4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雅间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2.5.4.1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雅间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间（含</w:t>
            </w:r>
            <w:r>
              <w:rPr>
                <w:rStyle w:val="font31"/>
                <w:rFonts w:eastAsia="方正仿宋_GBK"/>
                <w:lang w:val="en-US" w:bidi="ar"/>
              </w:rPr>
              <w:t>2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间）以上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3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2.5.4.2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有酒水台、备餐柜、雅间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4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间（含</w:t>
            </w:r>
            <w:r>
              <w:rPr>
                <w:rStyle w:val="font31"/>
                <w:rFonts w:eastAsia="方正仿宋_GBK"/>
                <w:lang w:val="en-US" w:bidi="ar"/>
              </w:rPr>
              <w:t>4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间）以上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2.5.5</w:t>
            </w:r>
          </w:p>
        </w:tc>
        <w:tc>
          <w:tcPr>
            <w:tcW w:w="471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可提供符合食品卫生、质量安全要求和具有浓郁森林、地方特色的美食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30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1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2.5.5.1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可提供林区乡土特色菜肴品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3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个以上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10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2.5.5.2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可提供林区乡土特色菜肴品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个以上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20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2.5.5.3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可提供林区乡土特色菜肴品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7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个以上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30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2.5.6</w:t>
            </w:r>
          </w:p>
        </w:tc>
        <w:tc>
          <w:tcPr>
            <w:tcW w:w="471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食品卫生制度健全，餐厅、厨房从业人员有健康证，知晓食品卫生知识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1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2.6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公厕（冲水式）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25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lastRenderedPageBreak/>
              <w:t>2.6.1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设计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2.6.1.1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设计合理，与周边环境和建筑风格协调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2.6.1.2</w:t>
            </w:r>
          </w:p>
        </w:tc>
        <w:tc>
          <w:tcPr>
            <w:tcW w:w="471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设计合理，与接待能力及服务功能相适应，与周边环境和建筑风格协调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51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1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2.6.2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男、女厕所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2.6.2.1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男、女厕所分开设置，具有效粪便处理措施，污水达标排放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285"/>
          <w:jc w:val="center"/>
        </w:trPr>
        <w:tc>
          <w:tcPr>
            <w:tcW w:w="94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2.6.2.2</w:t>
            </w:r>
          </w:p>
        </w:tc>
        <w:tc>
          <w:tcPr>
            <w:tcW w:w="471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男、女厕所分开设置，男、女厕位各</w:t>
            </w:r>
            <w:r>
              <w:rPr>
                <w:rStyle w:val="font31"/>
                <w:rFonts w:eastAsia="方正仿宋_GBK"/>
                <w:lang w:val="en-US" w:bidi="ar"/>
              </w:rPr>
              <w:t>≥2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个，冲洗设备齐全完好。具有效粪便处理措施，污水达标排放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51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285"/>
          <w:jc w:val="center"/>
        </w:trPr>
        <w:tc>
          <w:tcPr>
            <w:tcW w:w="94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1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2.6.3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厕所内设备完好，环境整洁，无蚊蝇滋生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2.6.4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辅助设施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2.6.4.1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有手纸框、洗手池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(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配备洗涤品</w:t>
            </w:r>
            <w:r>
              <w:rPr>
                <w:rStyle w:val="font31"/>
                <w:rFonts w:eastAsia="方正仿宋_GBK"/>
                <w:lang w:val="en-US" w:bidi="ar"/>
              </w:rPr>
              <w:t>)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、镜台等辅助设施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3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2.6.4.2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有手纸框、洗手池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(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配备洗涤品</w:t>
            </w:r>
            <w:r>
              <w:rPr>
                <w:rStyle w:val="font31"/>
                <w:rFonts w:eastAsia="方正仿宋_GBK"/>
                <w:lang w:val="en-US" w:bidi="ar"/>
              </w:rPr>
              <w:t>)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、镜台、挂衣钩等辅助设施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4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465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2.6.4.3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有手纸框、挂衣钩、洗手池（配备洗涤品）、烘手器、镜台辅助设施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2.6.5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通风、采光、照明、气味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2.6.5.1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通风、采光、照明条件良好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2.6.5.2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通风、采光、照明条件良好、无异味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2.7</w:t>
            </w:r>
          </w:p>
        </w:tc>
        <w:tc>
          <w:tcPr>
            <w:tcW w:w="471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有符合</w:t>
            </w:r>
            <w:r>
              <w:rPr>
                <w:rStyle w:val="font31"/>
                <w:rFonts w:eastAsia="方正仿宋_GBK"/>
                <w:lang w:val="en-US" w:bidi="ar"/>
              </w:rPr>
              <w:t xml:space="preserve"> GB 50763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规定的残疾人使用的卫生设施、无障碍通道、盲道、轮椅坡道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1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2.8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交通及停车场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10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2.8.1</w:t>
            </w:r>
          </w:p>
        </w:tc>
        <w:tc>
          <w:tcPr>
            <w:tcW w:w="471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外部交通通畅，有简易停车场，或在</w:t>
            </w:r>
            <w:r>
              <w:rPr>
                <w:rStyle w:val="font31"/>
                <w:rFonts w:eastAsia="方正仿宋_GBK"/>
                <w:lang w:val="en-US" w:bidi="ar"/>
              </w:rPr>
              <w:t xml:space="preserve"> 500m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半径范围内有临时停车空地，或位于有可利用停车场的区域内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</w:t>
            </w:r>
          </w:p>
        </w:tc>
        <w:tc>
          <w:tcPr>
            <w:tcW w:w="951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1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2.8.2</w:t>
            </w:r>
          </w:p>
        </w:tc>
        <w:tc>
          <w:tcPr>
            <w:tcW w:w="471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外部交通通畅，有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 xml:space="preserve"> </w:t>
            </w:r>
            <w:r>
              <w:rPr>
                <w:rStyle w:val="font31"/>
                <w:rFonts w:eastAsia="方正仿宋_GBK"/>
                <w:lang w:val="en-US" w:bidi="ar"/>
              </w:rPr>
              <w:t xml:space="preserve">5 </w:t>
            </w:r>
            <w:r>
              <w:rPr>
                <w:rStyle w:val="font31"/>
                <w:rFonts w:eastAsia="方正仿宋_GBK"/>
                <w:lang w:val="en-US" w:bidi="ar"/>
              </w:rPr>
              <w:t>个车位以上的停车场</w:t>
            </w:r>
            <w:r>
              <w:rPr>
                <w:rStyle w:val="font31"/>
                <w:rFonts w:eastAsia="方正仿宋_GBK"/>
                <w:lang w:val="en-US" w:bidi="ar"/>
              </w:rPr>
              <w:t xml:space="preserve">, 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或在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 xml:space="preserve"> </w:t>
            </w:r>
            <w:r>
              <w:rPr>
                <w:rStyle w:val="font31"/>
                <w:rFonts w:eastAsia="方正仿宋_GBK"/>
                <w:lang w:val="en-US" w:bidi="ar"/>
              </w:rPr>
              <w:t>500m</w:t>
            </w:r>
            <w:r>
              <w:rPr>
                <w:rStyle w:val="font31"/>
                <w:rFonts w:eastAsia="方正仿宋_GBK"/>
                <w:lang w:val="en-US" w:bidi="ar"/>
              </w:rPr>
              <w:t>半径范围内有可容纳</w:t>
            </w:r>
            <w:r>
              <w:rPr>
                <w:rStyle w:val="font31"/>
                <w:rFonts w:eastAsia="方正仿宋_GBK"/>
                <w:lang w:val="en-US" w:bidi="ar"/>
              </w:rPr>
              <w:t xml:space="preserve"> 5 </w:t>
            </w:r>
            <w:r>
              <w:rPr>
                <w:rStyle w:val="font31"/>
                <w:rFonts w:eastAsia="方正仿宋_GBK"/>
                <w:lang w:val="en-US" w:bidi="ar"/>
              </w:rPr>
              <w:t>辆以上小车停放的临时停车空地，或位于有可利用停车场的区域内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5"/>
                <w:szCs w:val="25"/>
              </w:rPr>
            </w:pP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4</w:t>
            </w:r>
          </w:p>
        </w:tc>
        <w:tc>
          <w:tcPr>
            <w:tcW w:w="951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5"/>
                <w:szCs w:val="25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1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5"/>
                <w:szCs w:val="25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5"/>
                <w:szCs w:val="25"/>
              </w:rPr>
            </w:pPr>
          </w:p>
        </w:tc>
      </w:tr>
      <w:tr w:rsidR="00660696">
        <w:trPr>
          <w:trHeight w:val="285"/>
          <w:jc w:val="center"/>
        </w:trPr>
        <w:tc>
          <w:tcPr>
            <w:tcW w:w="94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2.8.3</w:t>
            </w:r>
          </w:p>
        </w:tc>
        <w:tc>
          <w:tcPr>
            <w:tcW w:w="471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外部交通通畅，道路为硬化路面，进出便捷。有</w:t>
            </w:r>
            <w:r>
              <w:rPr>
                <w:rStyle w:val="font31"/>
                <w:rFonts w:eastAsia="方正仿宋_GBK"/>
                <w:lang w:val="en-US" w:bidi="ar"/>
              </w:rPr>
              <w:t xml:space="preserve"> 10 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个车位以上的生态停车场</w:t>
            </w:r>
            <w:r>
              <w:rPr>
                <w:rStyle w:val="font31"/>
                <w:rFonts w:eastAsia="方正仿宋_GBK"/>
                <w:lang w:val="en-US" w:bidi="ar"/>
              </w:rPr>
              <w:t>,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或在</w:t>
            </w:r>
            <w:r>
              <w:rPr>
                <w:rStyle w:val="font31"/>
                <w:rFonts w:eastAsia="方正仿宋_GBK"/>
                <w:lang w:val="en-US" w:bidi="ar"/>
              </w:rPr>
              <w:t xml:space="preserve"> 500m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半径范围内有可容纳</w:t>
            </w:r>
            <w:r>
              <w:rPr>
                <w:rStyle w:val="font31"/>
                <w:rFonts w:eastAsia="方正仿宋_GBK"/>
                <w:lang w:val="en-US" w:bidi="ar"/>
              </w:rPr>
              <w:t xml:space="preserve"> 10 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辆以上小车停放的临时停车空地，或位于有可利用停车场的区域内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5"/>
                <w:szCs w:val="25"/>
              </w:rPr>
            </w:pP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6</w:t>
            </w:r>
          </w:p>
        </w:tc>
        <w:tc>
          <w:tcPr>
            <w:tcW w:w="951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5"/>
                <w:szCs w:val="25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1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5"/>
                <w:szCs w:val="25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5"/>
                <w:szCs w:val="25"/>
              </w:rPr>
            </w:pPr>
          </w:p>
        </w:tc>
      </w:tr>
      <w:tr w:rsidR="00660696">
        <w:trPr>
          <w:trHeight w:val="285"/>
          <w:jc w:val="center"/>
        </w:trPr>
        <w:tc>
          <w:tcPr>
            <w:tcW w:w="94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2.8.4</w:t>
            </w:r>
          </w:p>
        </w:tc>
        <w:tc>
          <w:tcPr>
            <w:tcW w:w="471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both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外部交通通畅，外部道路和内部道路均为硬化路面，进出便捷。有</w:t>
            </w:r>
            <w:r>
              <w:rPr>
                <w:rStyle w:val="font31"/>
                <w:rFonts w:eastAsia="方正仿宋_GBK"/>
                <w:lang w:val="en-US" w:bidi="ar"/>
              </w:rPr>
              <w:t xml:space="preserve"> 15 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个车位以上的生态停车场</w:t>
            </w:r>
            <w:r>
              <w:rPr>
                <w:rStyle w:val="font31"/>
                <w:rFonts w:eastAsia="方正仿宋_GBK"/>
                <w:lang w:val="en-US" w:bidi="ar"/>
              </w:rPr>
              <w:t>,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或在</w:t>
            </w:r>
            <w:r>
              <w:rPr>
                <w:rStyle w:val="font31"/>
                <w:rFonts w:eastAsia="方正仿宋_GBK"/>
                <w:lang w:val="en-US" w:bidi="ar"/>
              </w:rPr>
              <w:t>500m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半径范围内有可容纳</w:t>
            </w:r>
            <w:r>
              <w:rPr>
                <w:rStyle w:val="font31"/>
                <w:rFonts w:eastAsia="方正仿宋_GBK"/>
                <w:lang w:val="en-US" w:bidi="ar"/>
              </w:rPr>
              <w:t>15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辆以上小车停放的临时停车空地或位于有可利用停车场的区域内，停车场坚实平整</w:t>
            </w:r>
            <w:r>
              <w:rPr>
                <w:rStyle w:val="font31"/>
                <w:rFonts w:eastAsia="方正仿宋_GBK"/>
                <w:lang w:val="en-US" w:bidi="ar"/>
              </w:rPr>
              <w:t xml:space="preserve">  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8</w:t>
            </w:r>
          </w:p>
        </w:tc>
        <w:tc>
          <w:tcPr>
            <w:tcW w:w="951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60696">
        <w:trPr>
          <w:trHeight w:val="285"/>
          <w:jc w:val="center"/>
        </w:trPr>
        <w:tc>
          <w:tcPr>
            <w:tcW w:w="94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1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both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1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both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2.8.5</w:t>
            </w:r>
          </w:p>
        </w:tc>
        <w:tc>
          <w:tcPr>
            <w:tcW w:w="471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外部交通通畅，外部道路和内部道路均为硬化路面，进出便捷。有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 xml:space="preserve"> </w:t>
            </w:r>
            <w:r>
              <w:rPr>
                <w:rStyle w:val="font31"/>
                <w:rFonts w:eastAsia="方正仿宋_GBK"/>
                <w:lang w:val="en-US" w:bidi="ar"/>
              </w:rPr>
              <w:t xml:space="preserve">20 </w:t>
            </w:r>
            <w:r>
              <w:rPr>
                <w:rStyle w:val="font31"/>
                <w:rFonts w:eastAsia="方正仿宋_GBK"/>
                <w:lang w:val="en-US" w:bidi="ar"/>
              </w:rPr>
              <w:t>个车位以上的生态停车场，或在</w:t>
            </w:r>
            <w:r>
              <w:rPr>
                <w:rStyle w:val="font31"/>
                <w:rFonts w:eastAsia="方正仿宋_GBK"/>
                <w:lang w:val="en-US" w:bidi="ar"/>
              </w:rPr>
              <w:t xml:space="preserve"> 500m </w:t>
            </w:r>
            <w:r>
              <w:rPr>
                <w:rStyle w:val="font31"/>
                <w:rFonts w:eastAsia="方正仿宋_GBK"/>
                <w:lang w:val="en-US" w:bidi="ar"/>
              </w:rPr>
              <w:t>半径范围内有可容纳</w:t>
            </w:r>
            <w:r>
              <w:rPr>
                <w:rStyle w:val="font31"/>
                <w:rFonts w:eastAsia="方正仿宋_GBK"/>
                <w:lang w:val="en-US" w:bidi="ar"/>
              </w:rPr>
              <w:t xml:space="preserve"> 20 </w:t>
            </w:r>
            <w:r>
              <w:rPr>
                <w:rStyle w:val="font31"/>
                <w:rFonts w:eastAsia="方正仿宋_GBK"/>
                <w:lang w:val="en-US" w:bidi="ar"/>
              </w:rPr>
              <w:t>辆以上小车停放的临时停车空地，或位于有可利用停车场的区域内，停车场坚实平整，与景观环境相协调</w:t>
            </w:r>
            <w:r>
              <w:rPr>
                <w:rStyle w:val="font31"/>
                <w:rFonts w:eastAsia="方正仿宋_GBK"/>
                <w:lang w:val="en-US" w:bidi="ar"/>
              </w:rPr>
              <w:t xml:space="preserve">  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bottom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10</w:t>
            </w:r>
          </w:p>
        </w:tc>
        <w:tc>
          <w:tcPr>
            <w:tcW w:w="951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1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1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2.9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标识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10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285"/>
          <w:jc w:val="center"/>
        </w:trPr>
        <w:tc>
          <w:tcPr>
            <w:tcW w:w="94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2.9.1</w:t>
            </w:r>
          </w:p>
        </w:tc>
        <w:tc>
          <w:tcPr>
            <w:tcW w:w="471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外部入口有指示标识，要有森林人家专用标志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(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见附件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A)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并将森林人家星级标志置于醒目位置。按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 xml:space="preserve">GB/T 15566 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要求设置公共信息图形符号，且符合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 xml:space="preserve"> GB/T 10001.1 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的规定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5"/>
                <w:szCs w:val="25"/>
              </w:rPr>
            </w:pP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51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5"/>
                <w:szCs w:val="25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1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5"/>
                <w:szCs w:val="25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5"/>
                <w:szCs w:val="25"/>
              </w:rPr>
            </w:pPr>
          </w:p>
        </w:tc>
      </w:tr>
      <w:tr w:rsidR="00660696">
        <w:trPr>
          <w:trHeight w:val="285"/>
          <w:jc w:val="center"/>
        </w:trPr>
        <w:tc>
          <w:tcPr>
            <w:tcW w:w="94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2.9.2</w:t>
            </w:r>
          </w:p>
        </w:tc>
        <w:tc>
          <w:tcPr>
            <w:tcW w:w="471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外部入口有指示标识，要有森林人家专用标志</w:t>
            </w:r>
            <w:r>
              <w:rPr>
                <w:rStyle w:val="font31"/>
                <w:rFonts w:eastAsia="方正仿宋_GBK"/>
                <w:lang w:val="en-US" w:bidi="ar"/>
              </w:rPr>
              <w:t>(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见附件</w:t>
            </w:r>
            <w:r>
              <w:rPr>
                <w:rStyle w:val="font31"/>
                <w:rFonts w:eastAsia="方正仿宋_GBK"/>
                <w:lang w:val="en-US" w:bidi="ar"/>
              </w:rPr>
              <w:t>A)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并将森林人家星级标志置于醒目位置。按</w:t>
            </w:r>
            <w:r>
              <w:rPr>
                <w:rStyle w:val="font31"/>
                <w:rFonts w:eastAsia="方正仿宋_GBK"/>
                <w:lang w:val="en-US" w:bidi="ar"/>
              </w:rPr>
              <w:t xml:space="preserve"> GB/T 15566 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要求设置中外文对照的公共信息图形符号，且符合</w:t>
            </w:r>
            <w:r>
              <w:rPr>
                <w:rStyle w:val="font31"/>
                <w:rFonts w:eastAsia="方正仿宋_GBK"/>
                <w:lang w:val="en-US" w:bidi="ar"/>
              </w:rPr>
              <w:t xml:space="preserve"> GB/T 10001.2 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的规定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5"/>
                <w:szCs w:val="25"/>
              </w:rPr>
            </w:pP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10</w:t>
            </w:r>
          </w:p>
        </w:tc>
        <w:tc>
          <w:tcPr>
            <w:tcW w:w="951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5"/>
                <w:szCs w:val="25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1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5"/>
                <w:szCs w:val="25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5"/>
                <w:szCs w:val="25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3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环境保护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100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lastRenderedPageBreak/>
              <w:t>3.1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环境空气质量达到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 xml:space="preserve"> GB 3095 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中的规定的一级要求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20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3.2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噪音质量达到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 xml:space="preserve"> GB 3096 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中规定的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 xml:space="preserve"> </w:t>
            </w:r>
            <w:r>
              <w:rPr>
                <w:rStyle w:val="font31"/>
                <w:rFonts w:eastAsia="方正仿宋_GBK"/>
                <w:lang w:val="en-US" w:bidi="ar"/>
              </w:rPr>
              <w:t xml:space="preserve">I 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类以上声环境功能区要求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20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3.3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饮用水质量达到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 xml:space="preserve"> GB 5749 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中的相关规定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20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3.4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污水排放达到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 xml:space="preserve"> GB 8978 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中规定的标准要求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20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3.5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饮食油烟排放达到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 xml:space="preserve"> GB 18483 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中的相关规定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20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4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服务项目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100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4.1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娱乐类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15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4.1.1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歌舞厅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4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4.1.2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娱乐室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4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4.1.3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有观赏性或参与性的民间民俗活动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7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4.2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健身体育类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37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4.2.1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室内运动室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3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4.2.2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室外运动场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4.2.3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游泳池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4.2.4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钓鱼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4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4.2.5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森林康养康体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20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4.3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科普教育类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30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4.3.1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阅览室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4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4.3.2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林事体验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20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4.3.3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户外教室或科普教育基地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6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4.4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商务类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10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4.4.1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多功能厅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4.4.2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文印传真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4.5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导游服务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8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4.5.1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引导服务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3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4.5.2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导游讲解服务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服务质量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200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建立健全安全管理制度和应急预案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10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5.2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建立、健全各项岗位责任制、服务质量标准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15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5.2.1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有餐厅服务人员和厨师岗位责任制和服务质量标准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5.2.2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有歌舞厅、娱乐厅服务人员岗位责任制和服务质量标准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5.2.3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有前厅、客房服务人员岗位责任制和服务质量标准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5.3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从业人员身体健康，有卫生健康证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 xml:space="preserve">, 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定期进行健康体检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 xml:space="preserve">  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15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5.4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各岗位的服务工作按服务操作规范要求，提供规范化服务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15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5.4.1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餐厅、厨房服务程序规范、操作标准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5.4.2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歌舞厅、娱乐厅服务程序规范、操作标准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5.4.3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前厅、客房服务程序、操作标准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465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5.5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从业人员诚实守信，爱岗敬业，尽职尽责，注重效率，具有服务意识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45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5.5.1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餐厅、厨房服务人员态度好、效率高、服务周到、规范化服务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15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5.5.2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歌舞厅、娱乐厅服务人员态度好、效率高、服务周到、规范化服务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15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lastRenderedPageBreak/>
              <w:t>5.5.3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前厅、客房服务人员态度好、效率高、服务周到、规范化服务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15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5.6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从业人员统一着装，佩戴标志（胸牌）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30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465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5.6.1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餐厅、厨房服务人员着装统一，整洁，端庄大方，礼貌周到，佩戴标志（胸牌），热情服务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10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465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5.6.2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歌舞厅、娱乐厅服务人员着装统一，整洁，端庄大方，礼貌周到，佩戴标志（胸牌），热情服务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10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465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5.6.3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前厅、客房服务人员着装统一，整洁，端庄大方，礼貌周到，佩戴标志（胸牌），热情服务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10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5.7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服务接待人员会用普通话和外语进行服务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20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5.7.1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服务接待人员会用普通话进行服务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10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5.7.2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服务接待人员会用普通话和一门外语进行服务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20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5.8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从业人员培训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30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5.8.1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从业人员培训率达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80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％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10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5.8.2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从业人员培训率达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90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％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20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5.8.3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从业人员培训率达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100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％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30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5.9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管理人员和技术人员经过专业培训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10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质量投诉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10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465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5.10.1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建立消费者投诉处理制度，服务台有服务质量投诉电话号码和意见薄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5.10.2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无重大服务质量投诉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6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加分项目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30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6.1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年接待人数（上一年）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10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6.1.1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 xml:space="preserve">0.1 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万人次以下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2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6.1.2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 xml:space="preserve">0.1 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万～</w:t>
            </w:r>
            <w:r>
              <w:rPr>
                <w:rStyle w:val="font31"/>
                <w:rFonts w:eastAsia="方正仿宋_GBK"/>
                <w:lang w:val="en-US" w:bidi="ar"/>
              </w:rPr>
              <w:t xml:space="preserve">0.5 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万人次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6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6.1.3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 xml:space="preserve">0.5 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万～</w:t>
            </w:r>
            <w:r>
              <w:rPr>
                <w:rStyle w:val="font31"/>
                <w:rFonts w:eastAsia="方正仿宋_GBK"/>
                <w:lang w:val="en-US" w:bidi="ar"/>
              </w:rPr>
              <w:t xml:space="preserve">1.0 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万人次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8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6.1.4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 xml:space="preserve">1.0 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万人次以上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10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6.2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吸收劳动就业人数（上一年）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10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6.2.1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 xml:space="preserve">3 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人以下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6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6.2.2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 xml:space="preserve">4 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人～</w:t>
            </w:r>
            <w:r>
              <w:rPr>
                <w:rStyle w:val="font31"/>
                <w:rFonts w:eastAsia="方正仿宋_GBK"/>
                <w:lang w:val="en-US" w:bidi="ar"/>
              </w:rPr>
              <w:t xml:space="preserve">5 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人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8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6.2.3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 xml:space="preserve">6 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人以上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10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6.3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从业人员中当地（林区）居民所占比例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10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6.3.1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从业人员中当地（林区）居民占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30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％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6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6.3.2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从业人员中当地（林区）居民占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50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％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8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6.3.3</w:t>
            </w:r>
          </w:p>
        </w:tc>
        <w:tc>
          <w:tcPr>
            <w:tcW w:w="4717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从业人员中当地（林区）居民占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70</w:t>
            </w:r>
            <w:r>
              <w:rPr>
                <w:rStyle w:val="font61"/>
                <w:rFonts w:ascii="Times New Roman" w:eastAsia="方正仿宋_GBK" w:hAnsi="Times New Roman" w:cs="Times New Roman" w:hint="default"/>
                <w:lang w:val="en-US" w:bidi="ar"/>
              </w:rPr>
              <w:t>％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10</w:t>
            </w:r>
          </w:p>
        </w:tc>
        <w:tc>
          <w:tcPr>
            <w:tcW w:w="951" w:type="dxa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合计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 xml:space="preserve">  </w:t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br/>
            </w: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得分</w:t>
            </w:r>
          </w:p>
        </w:tc>
        <w:tc>
          <w:tcPr>
            <w:tcW w:w="4717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 xml:space="preserve">    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525C5C">
            <w:pPr>
              <w:widowControl/>
              <w:spacing w:line="240" w:lineRule="exact"/>
              <w:jc w:val="center"/>
              <w:textAlignment w:val="top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  <w:lang w:val="en-US" w:bidi="ar"/>
              </w:rPr>
              <w:t>1000</w:t>
            </w:r>
          </w:p>
        </w:tc>
        <w:tc>
          <w:tcPr>
            <w:tcW w:w="949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vMerge w:val="restart"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</w:rPr>
            </w:pPr>
          </w:p>
        </w:tc>
      </w:tr>
      <w:tr w:rsidR="00660696">
        <w:trPr>
          <w:trHeight w:val="300"/>
          <w:jc w:val="center"/>
        </w:trPr>
        <w:tc>
          <w:tcPr>
            <w:tcW w:w="94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17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49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51" w:type="dxa"/>
            <w:vMerge/>
            <w:shd w:val="clear" w:color="auto" w:fill="auto"/>
            <w:vAlign w:val="center"/>
          </w:tcPr>
          <w:p w:rsidR="00660696" w:rsidRDefault="00660696">
            <w:pPr>
              <w:spacing w:line="240" w:lineRule="exact"/>
              <w:rPr>
                <w:rFonts w:ascii="Times New Roman" w:eastAsia="方正仿宋_GBK" w:hAnsi="Times New Roman" w:cs="Times New Roman"/>
                <w:color w:val="000000"/>
              </w:rPr>
            </w:pPr>
          </w:p>
        </w:tc>
      </w:tr>
    </w:tbl>
    <w:p w:rsidR="00660696" w:rsidRDefault="00660696">
      <w:pPr>
        <w:jc w:val="right"/>
        <w:rPr>
          <w:rFonts w:ascii="Times New Roman" w:hAnsi="Times New Roman" w:cs="Times New Roman"/>
          <w:sz w:val="18"/>
        </w:rPr>
      </w:pPr>
    </w:p>
    <w:p w:rsidR="00660696" w:rsidRDefault="00525C5C">
      <w:pPr>
        <w:widowControl/>
        <w:autoSpaceDE/>
        <w:autoSpaceDN/>
        <w:spacing w:line="280" w:lineRule="exact"/>
        <w:rPr>
          <w:rFonts w:ascii="Times New Roman" w:eastAsia="方正仿宋_GBK" w:hAnsi="Times New Roman" w:cs="Times New Roman"/>
          <w:b/>
          <w:bCs/>
          <w:kern w:val="2"/>
          <w:sz w:val="21"/>
          <w:szCs w:val="21"/>
          <w:lang w:bidi="ar-SA"/>
        </w:rPr>
      </w:pPr>
      <w:r>
        <w:rPr>
          <w:rFonts w:ascii="Times New Roman" w:eastAsia="方正仿宋_GBK" w:hAnsi="Times New Roman" w:cs="Times New Roman"/>
          <w:b/>
          <w:bCs/>
          <w:kern w:val="2"/>
          <w:sz w:val="21"/>
          <w:szCs w:val="21"/>
          <w:lang w:bidi="ar-SA"/>
        </w:rPr>
        <w:t>填表说明：</w:t>
      </w:r>
    </w:p>
    <w:p w:rsidR="00660696" w:rsidRDefault="00525C5C">
      <w:pPr>
        <w:widowControl/>
        <w:numPr>
          <w:ilvl w:val="0"/>
          <w:numId w:val="1"/>
        </w:numPr>
        <w:autoSpaceDE/>
        <w:autoSpaceDN/>
        <w:spacing w:line="280" w:lineRule="exact"/>
        <w:ind w:firstLineChars="200" w:firstLine="420"/>
        <w:rPr>
          <w:rFonts w:ascii="Times New Roman" w:eastAsia="方正仿宋_GBK" w:hAnsi="Times New Roman" w:cs="Times New Roman"/>
          <w:kern w:val="2"/>
          <w:sz w:val="21"/>
          <w:szCs w:val="21"/>
          <w:lang w:val="en-US" w:bidi="ar-SA"/>
        </w:rPr>
      </w:pPr>
      <w:r>
        <w:rPr>
          <w:rFonts w:ascii="Times New Roman" w:eastAsia="方正仿宋_GBK" w:hAnsi="Times New Roman" w:cs="Times New Roman"/>
          <w:kern w:val="2"/>
          <w:sz w:val="21"/>
          <w:szCs w:val="21"/>
          <w:lang w:val="en-US" w:bidi="ar-SA"/>
        </w:rPr>
        <w:t>森林人家评定表总分</w:t>
      </w:r>
      <w:r>
        <w:rPr>
          <w:rFonts w:ascii="Times New Roman" w:eastAsia="方正仿宋_GBK" w:hAnsi="Times New Roman" w:cs="Times New Roman"/>
          <w:kern w:val="2"/>
          <w:sz w:val="21"/>
          <w:szCs w:val="21"/>
          <w:lang w:val="en-US" w:bidi="ar-SA"/>
        </w:rPr>
        <w:t>1000</w:t>
      </w:r>
      <w:r>
        <w:rPr>
          <w:rFonts w:ascii="Times New Roman" w:eastAsia="方正仿宋_GBK" w:hAnsi="Times New Roman" w:cs="Times New Roman"/>
          <w:kern w:val="2"/>
          <w:sz w:val="21"/>
          <w:szCs w:val="21"/>
          <w:lang w:val="en-US" w:bidi="ar-SA"/>
        </w:rPr>
        <w:t>分，分为经营服务场地、接待服务设施、环境保护、</w:t>
      </w:r>
      <w:r>
        <w:rPr>
          <w:rFonts w:ascii="Times New Roman" w:eastAsia="方正仿宋_GBK" w:hAnsi="Times New Roman" w:cs="Times New Roman" w:hint="eastAsia"/>
          <w:kern w:val="2"/>
          <w:sz w:val="21"/>
          <w:szCs w:val="21"/>
          <w:lang w:val="en-US" w:bidi="ar-SA"/>
        </w:rPr>
        <w:t xml:space="preserve"> </w:t>
      </w:r>
      <w:r>
        <w:rPr>
          <w:rFonts w:ascii="Times New Roman" w:eastAsia="方正仿宋_GBK" w:hAnsi="Times New Roman" w:cs="Times New Roman"/>
          <w:kern w:val="2"/>
          <w:sz w:val="21"/>
          <w:szCs w:val="21"/>
          <w:lang w:val="en-US" w:bidi="ar-SA"/>
        </w:rPr>
        <w:t>服</w:t>
      </w:r>
    </w:p>
    <w:p w:rsidR="00660696" w:rsidRDefault="00525C5C">
      <w:pPr>
        <w:widowControl/>
        <w:autoSpaceDE/>
        <w:autoSpaceDN/>
        <w:spacing w:line="280" w:lineRule="exact"/>
        <w:ind w:leftChars="200" w:left="440"/>
        <w:rPr>
          <w:rFonts w:ascii="Times New Roman" w:eastAsia="方正仿宋_GBK" w:hAnsi="Times New Roman" w:cs="Times New Roman"/>
          <w:kern w:val="2"/>
          <w:sz w:val="21"/>
          <w:szCs w:val="21"/>
          <w:lang w:val="en-US" w:bidi="ar-SA"/>
        </w:rPr>
      </w:pPr>
      <w:r>
        <w:rPr>
          <w:rFonts w:ascii="Times New Roman" w:eastAsia="方正仿宋_GBK" w:hAnsi="Times New Roman" w:cs="Times New Roman"/>
          <w:kern w:val="2"/>
          <w:sz w:val="21"/>
          <w:szCs w:val="21"/>
          <w:lang w:val="en-US" w:bidi="ar-SA"/>
        </w:rPr>
        <w:t>务项目、服务质量和加分项目</w:t>
      </w:r>
      <w:r>
        <w:rPr>
          <w:rFonts w:ascii="Times New Roman" w:eastAsia="方正仿宋_GBK" w:hAnsi="Times New Roman" w:cs="Times New Roman"/>
          <w:kern w:val="2"/>
          <w:sz w:val="21"/>
          <w:szCs w:val="21"/>
          <w:lang w:val="en-US" w:bidi="ar-SA"/>
        </w:rPr>
        <w:t>6</w:t>
      </w:r>
      <w:r>
        <w:rPr>
          <w:rFonts w:ascii="Times New Roman" w:eastAsia="方正仿宋_GBK" w:hAnsi="Times New Roman" w:cs="Times New Roman"/>
          <w:kern w:val="2"/>
          <w:sz w:val="21"/>
          <w:szCs w:val="21"/>
          <w:lang w:val="en-US" w:bidi="ar-SA"/>
        </w:rPr>
        <w:t>大部分。</w:t>
      </w:r>
    </w:p>
    <w:p w:rsidR="00660696" w:rsidRDefault="00525C5C">
      <w:pPr>
        <w:widowControl/>
        <w:autoSpaceDE/>
        <w:autoSpaceDN/>
        <w:spacing w:line="280" w:lineRule="exact"/>
        <w:ind w:firstLineChars="200" w:firstLine="420"/>
        <w:rPr>
          <w:rFonts w:ascii="Times New Roman" w:eastAsia="方正仿宋_GBK" w:hAnsi="Times New Roman" w:cs="Times New Roman"/>
          <w:kern w:val="2"/>
          <w:sz w:val="21"/>
          <w:szCs w:val="21"/>
          <w:lang w:val="en-US" w:bidi="ar-SA"/>
        </w:rPr>
      </w:pPr>
      <w:r>
        <w:rPr>
          <w:rFonts w:ascii="Times New Roman" w:eastAsia="方正仿宋_GBK" w:hAnsi="Times New Roman" w:cs="Times New Roman"/>
          <w:kern w:val="2"/>
          <w:sz w:val="21"/>
          <w:szCs w:val="21"/>
          <w:lang w:val="en-US" w:bidi="ar-SA"/>
        </w:rPr>
        <w:t>2</w:t>
      </w:r>
      <w:r>
        <w:rPr>
          <w:rFonts w:ascii="Times New Roman" w:eastAsia="方正仿宋_GBK" w:hAnsi="Times New Roman" w:cs="Times New Roman"/>
          <w:kern w:val="2"/>
          <w:sz w:val="21"/>
          <w:szCs w:val="21"/>
          <w:lang w:val="en-US" w:bidi="ar-SA"/>
        </w:rPr>
        <w:t>、三星级森林人家</w:t>
      </w:r>
      <w:r>
        <w:rPr>
          <w:rFonts w:ascii="Times New Roman" w:eastAsia="方正仿宋_GBK" w:hAnsi="Times New Roman" w:cs="Times New Roman"/>
          <w:kern w:val="2"/>
          <w:sz w:val="21"/>
          <w:szCs w:val="21"/>
          <w:lang w:val="en-US" w:bidi="ar-SA"/>
        </w:rPr>
        <w:t>650</w:t>
      </w:r>
      <w:r>
        <w:rPr>
          <w:rFonts w:ascii="Times New Roman" w:eastAsia="方正仿宋_GBK" w:hAnsi="Times New Roman" w:cs="Times New Roman"/>
          <w:kern w:val="2"/>
          <w:sz w:val="21"/>
          <w:szCs w:val="21"/>
          <w:lang w:val="en-US" w:bidi="ar-SA"/>
        </w:rPr>
        <w:t>分</w:t>
      </w:r>
      <w:r>
        <w:rPr>
          <w:rFonts w:ascii="Times New Roman" w:eastAsia="方正仿宋_GBK" w:hAnsi="Times New Roman" w:cs="Times New Roman"/>
          <w:kern w:val="2"/>
          <w:sz w:val="21"/>
          <w:szCs w:val="21"/>
          <w:lang w:val="en-US" w:bidi="ar-SA"/>
        </w:rPr>
        <w:t>-799</w:t>
      </w:r>
      <w:r>
        <w:rPr>
          <w:rFonts w:ascii="Times New Roman" w:eastAsia="方正仿宋_GBK" w:hAnsi="Times New Roman" w:cs="Times New Roman"/>
          <w:kern w:val="2"/>
          <w:sz w:val="21"/>
          <w:szCs w:val="21"/>
          <w:lang w:val="en-US" w:bidi="ar-SA"/>
        </w:rPr>
        <w:t>分，四星级</w:t>
      </w:r>
      <w:r>
        <w:rPr>
          <w:rFonts w:ascii="Times New Roman" w:eastAsia="方正仿宋_GBK" w:hAnsi="Times New Roman" w:cs="Times New Roman"/>
          <w:kern w:val="2"/>
          <w:sz w:val="21"/>
          <w:szCs w:val="21"/>
          <w:lang w:val="en-US" w:bidi="ar-SA"/>
        </w:rPr>
        <w:t>800</w:t>
      </w:r>
      <w:r>
        <w:rPr>
          <w:rFonts w:ascii="Times New Roman" w:eastAsia="方正仿宋_GBK" w:hAnsi="Times New Roman" w:cs="Times New Roman"/>
          <w:kern w:val="2"/>
          <w:sz w:val="21"/>
          <w:szCs w:val="21"/>
          <w:lang w:val="en-US" w:bidi="ar-SA"/>
        </w:rPr>
        <w:t>分</w:t>
      </w:r>
      <w:r>
        <w:rPr>
          <w:rFonts w:ascii="Times New Roman" w:eastAsia="方正仿宋_GBK" w:hAnsi="Times New Roman" w:cs="Times New Roman"/>
          <w:kern w:val="2"/>
          <w:sz w:val="21"/>
          <w:szCs w:val="21"/>
          <w:lang w:val="en-US" w:bidi="ar-SA"/>
        </w:rPr>
        <w:t>-899</w:t>
      </w:r>
      <w:r>
        <w:rPr>
          <w:rFonts w:ascii="Times New Roman" w:eastAsia="方正仿宋_GBK" w:hAnsi="Times New Roman" w:cs="Times New Roman"/>
          <w:kern w:val="2"/>
          <w:sz w:val="21"/>
          <w:szCs w:val="21"/>
          <w:lang w:val="en-US" w:bidi="ar-SA"/>
        </w:rPr>
        <w:t>分，五星级</w:t>
      </w:r>
      <w:r>
        <w:rPr>
          <w:rFonts w:ascii="Times New Roman" w:eastAsia="方正仿宋_GBK" w:hAnsi="Times New Roman" w:cs="Times New Roman"/>
          <w:kern w:val="2"/>
          <w:sz w:val="21"/>
          <w:szCs w:val="21"/>
          <w:lang w:val="en-US" w:bidi="ar-SA"/>
        </w:rPr>
        <w:t>≥900</w:t>
      </w:r>
      <w:r>
        <w:rPr>
          <w:rFonts w:ascii="Times New Roman" w:eastAsia="方正仿宋_GBK" w:hAnsi="Times New Roman" w:cs="Times New Roman"/>
          <w:kern w:val="2"/>
          <w:sz w:val="21"/>
          <w:szCs w:val="21"/>
          <w:lang w:val="en-US" w:bidi="ar-SA"/>
        </w:rPr>
        <w:t>分。</w:t>
      </w:r>
    </w:p>
    <w:p w:rsidR="00660696" w:rsidRDefault="00525C5C">
      <w:pPr>
        <w:widowControl/>
        <w:autoSpaceDE/>
        <w:autoSpaceDN/>
        <w:spacing w:line="280" w:lineRule="exact"/>
        <w:ind w:firstLineChars="200" w:firstLine="420"/>
        <w:rPr>
          <w:rFonts w:ascii="Times New Roman" w:eastAsia="方正仿宋_GBK" w:hAnsi="Times New Roman" w:cs="Times New Roman"/>
          <w:kern w:val="2"/>
          <w:sz w:val="21"/>
          <w:szCs w:val="21"/>
          <w:lang w:val="en-US" w:bidi="ar-SA"/>
        </w:rPr>
      </w:pPr>
      <w:r>
        <w:rPr>
          <w:rFonts w:ascii="Times New Roman" w:eastAsia="方正仿宋_GBK" w:hAnsi="Times New Roman" w:cs="Times New Roman"/>
          <w:kern w:val="2"/>
          <w:sz w:val="21"/>
          <w:szCs w:val="21"/>
          <w:lang w:val="en-US" w:bidi="ar-SA"/>
        </w:rPr>
        <w:t>3</w:t>
      </w:r>
      <w:r>
        <w:rPr>
          <w:rFonts w:ascii="Times New Roman" w:eastAsia="方正仿宋_GBK" w:hAnsi="Times New Roman" w:cs="Times New Roman"/>
          <w:kern w:val="2"/>
          <w:sz w:val="21"/>
          <w:szCs w:val="21"/>
          <w:lang w:val="en-US" w:bidi="ar-SA"/>
        </w:rPr>
        <w:t>、分档次计分的小项只选择其中一档计分，不得将各档分累加。不分档次的小项，</w:t>
      </w:r>
      <w:r>
        <w:rPr>
          <w:rFonts w:ascii="Times New Roman" w:eastAsia="方正仿宋_GBK" w:hAnsi="Times New Roman" w:cs="Times New Roman" w:hint="eastAsia"/>
          <w:kern w:val="2"/>
          <w:sz w:val="21"/>
          <w:szCs w:val="21"/>
          <w:lang w:val="en-US" w:bidi="ar-SA"/>
        </w:rPr>
        <w:t xml:space="preserve"> </w:t>
      </w:r>
      <w:r>
        <w:rPr>
          <w:rFonts w:ascii="Times New Roman" w:eastAsia="方正仿宋_GBK" w:hAnsi="Times New Roman" w:cs="Times New Roman"/>
          <w:kern w:val="2"/>
          <w:sz w:val="21"/>
          <w:szCs w:val="21"/>
          <w:lang w:val="en-US" w:bidi="ar-SA"/>
        </w:rPr>
        <w:t>如</w:t>
      </w:r>
    </w:p>
    <w:p w:rsidR="00660696" w:rsidRDefault="00525C5C">
      <w:pPr>
        <w:widowControl/>
        <w:autoSpaceDE/>
        <w:autoSpaceDN/>
        <w:spacing w:line="280" w:lineRule="exact"/>
        <w:ind w:firstLineChars="200" w:firstLine="420"/>
        <w:rPr>
          <w:rFonts w:ascii="Times New Roman" w:eastAsia="方正仿宋_GBK" w:hAnsi="Times New Roman" w:cs="Times New Roman"/>
          <w:kern w:val="2"/>
          <w:sz w:val="21"/>
          <w:szCs w:val="21"/>
          <w:lang w:val="en-US" w:bidi="ar-SA"/>
        </w:rPr>
      </w:pPr>
      <w:r>
        <w:rPr>
          <w:rFonts w:ascii="Times New Roman" w:eastAsia="方正仿宋_GBK" w:hAnsi="Times New Roman" w:cs="Times New Roman"/>
          <w:kern w:val="2"/>
          <w:sz w:val="21"/>
          <w:szCs w:val="21"/>
          <w:lang w:val="en-US" w:bidi="ar-SA"/>
        </w:rPr>
        <w:t>只达到部分要求可计该小项的部分分值；各小项分数之和为分项分，各分项计分相加得</w:t>
      </w:r>
    </w:p>
    <w:p w:rsidR="00660696" w:rsidRDefault="00525C5C">
      <w:pPr>
        <w:widowControl/>
        <w:autoSpaceDE/>
        <w:autoSpaceDN/>
        <w:spacing w:line="280" w:lineRule="exact"/>
        <w:ind w:firstLineChars="200" w:firstLine="420"/>
        <w:rPr>
          <w:rFonts w:ascii="Times New Roman" w:eastAsia="方正仿宋_GBK" w:hAnsi="Times New Roman" w:cs="Times New Roman"/>
          <w:kern w:val="2"/>
          <w:sz w:val="21"/>
          <w:szCs w:val="21"/>
          <w:lang w:val="en-US" w:bidi="ar-SA"/>
        </w:rPr>
      </w:pPr>
      <w:r>
        <w:rPr>
          <w:rFonts w:ascii="Times New Roman" w:eastAsia="方正仿宋_GBK" w:hAnsi="Times New Roman" w:cs="Times New Roman"/>
          <w:kern w:val="2"/>
          <w:sz w:val="21"/>
          <w:szCs w:val="21"/>
          <w:lang w:val="en-US" w:bidi="ar-SA"/>
        </w:rPr>
        <w:lastRenderedPageBreak/>
        <w:t>到大项得分。</w:t>
      </w:r>
    </w:p>
    <w:p w:rsidR="00660696" w:rsidRDefault="00660696">
      <w:pPr>
        <w:pStyle w:val="a3"/>
        <w:spacing w:before="0"/>
        <w:ind w:left="0"/>
        <w:rPr>
          <w:rFonts w:ascii="Times New Roman" w:hAnsi="Times New Roman" w:cs="Times New Roman"/>
          <w:sz w:val="20"/>
        </w:rPr>
      </w:pPr>
    </w:p>
    <w:sectPr w:rsidR="00660696">
      <w:headerReference w:type="default" r:id="rId8"/>
      <w:footerReference w:type="default" r:id="rId9"/>
      <w:pgSz w:w="11906" w:h="16838"/>
      <w:pgMar w:top="1440" w:right="1803" w:bottom="1440" w:left="1803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5C5C" w:rsidRDefault="00525C5C">
      <w:r>
        <w:separator/>
      </w:r>
    </w:p>
  </w:endnote>
  <w:endnote w:type="continuationSeparator" w:id="0">
    <w:p w:rsidR="00525C5C" w:rsidRDefault="00525C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仿宋_GBK">
    <w:charset w:val="86"/>
    <w:family w:val="auto"/>
    <w:pitch w:val="default"/>
    <w:sig w:usb0="00000001" w:usb1="080E0000" w:usb2="00000000" w:usb3="00000000" w:csb0="00040000" w:csb1="00000000"/>
    <w:embedRegular r:id="rId1" w:subsetted="1" w:fontKey="{40867887-A178-4FF7-8D13-829CF6057604}"/>
    <w:embedBold r:id="rId2" w:subsetted="1" w:fontKey="{7A238C74-0BD8-46EA-AC84-CDC894A83CA9}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3" w:subsetted="1" w:fontKey="{55EB5454-B005-428E-9EF6-B522C2EFA2C9}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0696" w:rsidRDefault="00660696">
    <w:pPr>
      <w:pStyle w:val="a3"/>
      <w:spacing w:before="0" w:line="14" w:lineRule="auto"/>
      <w:ind w:left="0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5C5C" w:rsidRDefault="00525C5C">
      <w:r>
        <w:separator/>
      </w:r>
    </w:p>
  </w:footnote>
  <w:footnote w:type="continuationSeparator" w:id="0">
    <w:p w:rsidR="00525C5C" w:rsidRDefault="00525C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0696" w:rsidRDefault="00660696">
    <w:pPr>
      <w:pStyle w:val="a3"/>
      <w:spacing w:before="0" w:line="14" w:lineRule="auto"/>
      <w:ind w:left="0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D0731D"/>
    <w:multiLevelType w:val="singleLevel"/>
    <w:tmpl w:val="28D0731D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TrueTypeFonts/>
  <w:saveSubsetFonts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33272AEB"/>
    <w:rsid w:val="FA4F90F3"/>
    <w:rsid w:val="00525C5C"/>
    <w:rsid w:val="00660696"/>
    <w:rsid w:val="007034F2"/>
    <w:rsid w:val="00E0554E"/>
    <w:rsid w:val="148E27D2"/>
    <w:rsid w:val="1994439D"/>
    <w:rsid w:val="26F24AC1"/>
    <w:rsid w:val="2A1C4E5C"/>
    <w:rsid w:val="2E151092"/>
    <w:rsid w:val="31746808"/>
    <w:rsid w:val="33272AEB"/>
    <w:rsid w:val="37124238"/>
    <w:rsid w:val="3AA57F2C"/>
    <w:rsid w:val="3B317194"/>
    <w:rsid w:val="3E6B10BD"/>
    <w:rsid w:val="41CA58A7"/>
    <w:rsid w:val="429E0AFA"/>
    <w:rsid w:val="4D2A2B09"/>
    <w:rsid w:val="53EF7B55"/>
    <w:rsid w:val="63BF3CA9"/>
    <w:rsid w:val="640F71F4"/>
    <w:rsid w:val="66CA0BA0"/>
    <w:rsid w:val="676E526F"/>
    <w:rsid w:val="67D82B06"/>
    <w:rsid w:val="6B551ED4"/>
    <w:rsid w:val="6F5AF1DC"/>
    <w:rsid w:val="7D9BCE61"/>
    <w:rsid w:val="7EFF69D7"/>
    <w:rsid w:val="7F854CFB"/>
    <w:rsid w:val="7FE79D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F24FD881-E52A-484E-8B3B-F6445D829D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uiPriority="1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uiPriority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pPr>
      <w:widowControl w:val="0"/>
      <w:autoSpaceDE w:val="0"/>
      <w:autoSpaceDN w:val="0"/>
    </w:pPr>
    <w:rPr>
      <w:rFonts w:ascii="宋体" w:hAnsi="宋体" w:cs="宋体"/>
      <w:sz w:val="22"/>
      <w:szCs w:val="22"/>
      <w:lang w:val="zh-CN" w:bidi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pPr>
      <w:spacing w:before="55"/>
      <w:ind w:left="1696"/>
    </w:pPr>
    <w:rPr>
      <w:sz w:val="21"/>
      <w:szCs w:val="21"/>
    </w:rPr>
  </w:style>
  <w:style w:type="paragraph" w:styleId="a4">
    <w:name w:val="footer"/>
    <w:basedOn w:val="a"/>
    <w:qFormat/>
    <w:pPr>
      <w:tabs>
        <w:tab w:val="center" w:pos="4153"/>
        <w:tab w:val="right" w:pos="8306"/>
      </w:tabs>
      <w:snapToGrid w:val="0"/>
    </w:pPr>
    <w:rPr>
      <w:sz w:val="18"/>
    </w:rPr>
  </w:style>
  <w:style w:type="paragraph" w:styleId="a5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  <w:jc w:val="both"/>
    </w:pPr>
    <w:rPr>
      <w:sz w:val="18"/>
    </w:rPr>
  </w:style>
  <w:style w:type="paragraph" w:customStyle="1" w:styleId="1">
    <w:name w:val="列出段落1"/>
    <w:basedOn w:val="a"/>
    <w:uiPriority w:val="1"/>
    <w:qFormat/>
    <w:pPr>
      <w:spacing w:before="55"/>
      <w:ind w:left="2014" w:hanging="319"/>
    </w:pPr>
  </w:style>
  <w:style w:type="paragraph" w:customStyle="1" w:styleId="TableParagraph">
    <w:name w:val="Table Paragraph"/>
    <w:basedOn w:val="a"/>
    <w:uiPriority w:val="1"/>
    <w:qFormat/>
    <w:pPr>
      <w:spacing w:before="83"/>
    </w:pPr>
  </w:style>
  <w:style w:type="character" w:customStyle="1" w:styleId="font31">
    <w:name w:val="font31"/>
    <w:basedOn w:val="a0"/>
    <w:qFormat/>
    <w:rPr>
      <w:rFonts w:ascii="Times New Roman" w:hAnsi="Times New Roman" w:cs="Times New Roman" w:hint="default"/>
      <w:color w:val="000000"/>
      <w:sz w:val="18"/>
      <w:szCs w:val="18"/>
      <w:u w:val="none"/>
    </w:rPr>
  </w:style>
  <w:style w:type="character" w:customStyle="1" w:styleId="font61">
    <w:name w:val="font61"/>
    <w:basedOn w:val="a0"/>
    <w:qFormat/>
    <w:rPr>
      <w:rFonts w:ascii="宋体" w:eastAsia="宋体" w:hAnsi="宋体" w:cs="宋体" w:hint="eastAsia"/>
      <w:color w:val="000000"/>
      <w:sz w:val="18"/>
      <w:szCs w:val="18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1021</Words>
  <Characters>5822</Characters>
  <Application>Microsoft Office Word</Application>
  <DocSecurity>0</DocSecurity>
  <Lines>48</Lines>
  <Paragraphs>13</Paragraphs>
  <ScaleCrop>false</ScaleCrop>
  <Company/>
  <LinksUpToDate>false</LinksUpToDate>
  <CharactersWithSpaces>6830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pd</dc:creator>
  <cp:lastModifiedBy>Administrator</cp:lastModifiedBy>
  <cp:revision>1</cp:revision>
  <dcterms:created xsi:type="dcterms:W3CDTF">2021-09-24T17:19:00Z</dcterms:created>
  <dcterms:modified xsi:type="dcterms:W3CDTF">2021-10-25T00:55:00Z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2052-10.8.0.6058</vt:lpwstr>
  </property>
  <property fmtid="{D5CDD505-2E9C-101B-9397-08002B2CF9AE}" pid="3" name="ICV">
    <vt:lpwstr>8F901A17D2014DC8B311B564E5710DF2</vt:lpwstr>
  </property>
</Properties>
</file>